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774" w:rsidRPr="00345246" w:rsidRDefault="00A50774" w:rsidP="00F511AA">
      <w:pPr>
        <w:spacing w:before="360" w:after="120" w:line="360" w:lineRule="auto"/>
        <w:jc w:val="center"/>
        <w:rPr>
          <w:rFonts w:ascii="Bookman Old Style" w:hAnsi="Bookman Old Style"/>
          <w:b/>
          <w:smallCaps/>
          <w:sz w:val="36"/>
          <w:szCs w:val="36"/>
        </w:rPr>
      </w:pPr>
      <w:r w:rsidRPr="00345246">
        <w:rPr>
          <w:rFonts w:ascii="Bookman Old Style" w:hAnsi="Bookman Old Style"/>
          <w:b/>
          <w:smallCaps/>
          <w:sz w:val="36"/>
          <w:szCs w:val="36"/>
        </w:rPr>
        <w:t xml:space="preserve">Parere </w:t>
      </w:r>
    </w:p>
    <w:p w:rsidR="00A50774" w:rsidRPr="00345246" w:rsidRDefault="00A50774" w:rsidP="00F511AA">
      <w:pPr>
        <w:spacing w:before="360" w:after="360" w:line="360" w:lineRule="auto"/>
        <w:jc w:val="both"/>
        <w:rPr>
          <w:rFonts w:ascii="Bookman Old Style" w:hAnsi="Bookman Old Style"/>
          <w:b/>
          <w:sz w:val="24"/>
          <w:szCs w:val="24"/>
        </w:rPr>
      </w:pPr>
      <w:r w:rsidRPr="00345246">
        <w:rPr>
          <w:rFonts w:ascii="Bookman Old Style" w:hAnsi="Bookman Old Style"/>
          <w:b/>
          <w:sz w:val="24"/>
          <w:szCs w:val="24"/>
          <w:u w:val="single"/>
        </w:rPr>
        <w:t>Oggetto</w:t>
      </w:r>
      <w:r w:rsidRPr="00345246">
        <w:rPr>
          <w:rFonts w:ascii="Bookman Old Style" w:hAnsi="Bookman Old Style"/>
          <w:b/>
          <w:sz w:val="24"/>
          <w:szCs w:val="24"/>
        </w:rPr>
        <w:t>: Emolumento denominato IMA e legittimità dell’art. 5 dell’ipotesi di accordo collettivo integrativo – anno 2014</w:t>
      </w:r>
      <w:r>
        <w:rPr>
          <w:rFonts w:ascii="Bookman Old Style" w:hAnsi="Bookman Old Style"/>
          <w:b/>
          <w:sz w:val="24"/>
          <w:szCs w:val="24"/>
        </w:rPr>
        <w:t xml:space="preserve"> stipulato tra l’Università di Roma “</w:t>
      </w:r>
      <w:proofErr w:type="spellStart"/>
      <w:r>
        <w:rPr>
          <w:rFonts w:ascii="Bookman Old Style" w:hAnsi="Bookman Old Style"/>
          <w:b/>
          <w:sz w:val="24"/>
          <w:szCs w:val="24"/>
        </w:rPr>
        <w:t>Tor</w:t>
      </w:r>
      <w:proofErr w:type="spellEnd"/>
      <w:r>
        <w:rPr>
          <w:rFonts w:ascii="Bookman Old Style" w:hAnsi="Bookman Old Style"/>
          <w:b/>
          <w:sz w:val="24"/>
          <w:szCs w:val="24"/>
        </w:rPr>
        <w:t xml:space="preserve"> Vergata” e le OOSS.</w:t>
      </w:r>
    </w:p>
    <w:p w:rsidR="00A50774" w:rsidRPr="00A04BBE" w:rsidRDefault="00A50774" w:rsidP="00F511AA">
      <w:pPr>
        <w:spacing w:after="120" w:line="360" w:lineRule="auto"/>
        <w:ind w:firstLine="708"/>
        <w:jc w:val="both"/>
        <w:rPr>
          <w:rFonts w:ascii="Bookman Old Style" w:hAnsi="Bookman Old Style"/>
          <w:sz w:val="24"/>
          <w:szCs w:val="24"/>
        </w:rPr>
      </w:pPr>
      <w:r w:rsidRPr="00A04BBE">
        <w:rPr>
          <w:rFonts w:ascii="Bookman Old Style" w:hAnsi="Bookman Old Style"/>
          <w:b/>
          <w:sz w:val="24"/>
          <w:szCs w:val="24"/>
        </w:rPr>
        <w:t>1)</w:t>
      </w:r>
      <w:r w:rsidRPr="00A04BBE">
        <w:rPr>
          <w:rFonts w:ascii="Bookman Old Style" w:hAnsi="Bookman Old Style"/>
          <w:sz w:val="24"/>
          <w:szCs w:val="24"/>
        </w:rPr>
        <w:t xml:space="preserve"> La vera natura giuridica dell’IMA è quella di componente fissa della retribuzione e non di emolumento accessorio.</w:t>
      </w:r>
    </w:p>
    <w:p w:rsidR="00A50774" w:rsidRPr="00A04BBE" w:rsidRDefault="00A50774" w:rsidP="00F511AA">
      <w:pPr>
        <w:spacing w:after="120" w:line="360" w:lineRule="auto"/>
        <w:ind w:firstLine="708"/>
        <w:jc w:val="both"/>
        <w:rPr>
          <w:rFonts w:ascii="Bookman Old Style" w:hAnsi="Bookman Old Style"/>
          <w:sz w:val="24"/>
          <w:szCs w:val="24"/>
        </w:rPr>
      </w:pPr>
      <w:r w:rsidRPr="00267B62">
        <w:rPr>
          <w:rFonts w:ascii="Bookman Old Style" w:hAnsi="Bookman Old Style"/>
          <w:b/>
          <w:sz w:val="24"/>
          <w:szCs w:val="24"/>
        </w:rPr>
        <w:t>A)</w:t>
      </w:r>
      <w:r>
        <w:rPr>
          <w:rFonts w:ascii="Bookman Old Style" w:hAnsi="Bookman Old Style"/>
          <w:sz w:val="24"/>
          <w:szCs w:val="24"/>
        </w:rPr>
        <w:t xml:space="preserve"> </w:t>
      </w:r>
      <w:r w:rsidRPr="00A04BBE">
        <w:rPr>
          <w:rFonts w:ascii="Bookman Old Style" w:hAnsi="Bookman Old Style"/>
          <w:sz w:val="24"/>
          <w:szCs w:val="24"/>
        </w:rPr>
        <w:t xml:space="preserve">Depone in questo senso la </w:t>
      </w:r>
      <w:r>
        <w:rPr>
          <w:rFonts w:ascii="Bookman Old Style" w:hAnsi="Bookman Old Style"/>
          <w:sz w:val="24"/>
          <w:szCs w:val="24"/>
        </w:rPr>
        <w:t>struttura e la funzione che ha sempre caratterizzato tale emolumento</w:t>
      </w:r>
      <w:r w:rsidRPr="00A04BBE">
        <w:rPr>
          <w:rFonts w:ascii="Bookman Old Style" w:hAnsi="Bookman Old Style"/>
          <w:sz w:val="24"/>
          <w:szCs w:val="24"/>
        </w:rPr>
        <w:t xml:space="preserve">. Infatti, prima del 2012, </w:t>
      </w:r>
      <w:r>
        <w:rPr>
          <w:rFonts w:ascii="Bookman Old Style" w:hAnsi="Bookman Old Style"/>
          <w:sz w:val="24"/>
          <w:szCs w:val="24"/>
        </w:rPr>
        <w:t xml:space="preserve">esso </w:t>
      </w:r>
      <w:r w:rsidRPr="00A04BBE">
        <w:rPr>
          <w:rFonts w:ascii="Bookman Old Style" w:hAnsi="Bookman Old Style"/>
          <w:sz w:val="24"/>
          <w:szCs w:val="24"/>
        </w:rPr>
        <w:t>veniva chiamat</w:t>
      </w:r>
      <w:r>
        <w:rPr>
          <w:rFonts w:ascii="Bookman Old Style" w:hAnsi="Bookman Old Style"/>
          <w:sz w:val="24"/>
          <w:szCs w:val="24"/>
        </w:rPr>
        <w:t>o</w:t>
      </w:r>
      <w:r w:rsidRPr="00A04BBE">
        <w:rPr>
          <w:rFonts w:ascii="Bookman Old Style" w:hAnsi="Bookman Old Style"/>
          <w:sz w:val="24"/>
          <w:szCs w:val="24"/>
        </w:rPr>
        <w:t xml:space="preserve"> </w:t>
      </w:r>
      <w:r>
        <w:rPr>
          <w:rFonts w:ascii="Bookman Old Style" w:hAnsi="Bookman Old Style"/>
          <w:sz w:val="24"/>
          <w:szCs w:val="24"/>
        </w:rPr>
        <w:t>“</w:t>
      </w:r>
      <w:r w:rsidRPr="00A04BBE">
        <w:rPr>
          <w:rFonts w:ascii="Bookman Old Style" w:hAnsi="Bookman Old Style"/>
          <w:sz w:val="24"/>
          <w:szCs w:val="24"/>
        </w:rPr>
        <w:t>Indennità di professionalità” ed è sempre stat</w:t>
      </w:r>
      <w:r>
        <w:rPr>
          <w:rFonts w:ascii="Bookman Old Style" w:hAnsi="Bookman Old Style"/>
          <w:sz w:val="24"/>
          <w:szCs w:val="24"/>
        </w:rPr>
        <w:t>o</w:t>
      </w:r>
      <w:r w:rsidRPr="00A04BBE">
        <w:rPr>
          <w:rFonts w:ascii="Bookman Old Style" w:hAnsi="Bookman Old Style"/>
          <w:sz w:val="24"/>
          <w:szCs w:val="24"/>
        </w:rPr>
        <w:t xml:space="preserve"> una componente fissa della retribuzione mensile, non legata ad alcun risultato né ad alcuna valutazione. Si trattava, dunque, di un’indennità professionale fissa mensile che concorreva, unitamente alla componente base, alla determinazione della retribuzione proporzionata e sufficiente, ai fini del rispetto dell’art. 36 Cost. </w:t>
      </w:r>
    </w:p>
    <w:p w:rsidR="00A50774" w:rsidRPr="00A04BBE" w:rsidRDefault="00A50774" w:rsidP="00F511AA">
      <w:pPr>
        <w:spacing w:after="120" w:line="360" w:lineRule="auto"/>
        <w:ind w:firstLine="708"/>
        <w:jc w:val="both"/>
        <w:rPr>
          <w:rFonts w:ascii="Bookman Old Style" w:hAnsi="Bookman Old Style"/>
          <w:sz w:val="24"/>
          <w:szCs w:val="24"/>
        </w:rPr>
      </w:pPr>
      <w:r w:rsidRPr="00A04BBE">
        <w:rPr>
          <w:rFonts w:ascii="Bookman Old Style" w:hAnsi="Bookman Old Style"/>
          <w:sz w:val="24"/>
          <w:szCs w:val="24"/>
        </w:rPr>
        <w:t>Altri erano, invece, gli emolumenti accessori legati alle particolari caratteristiche di luogo, di tempo e di modo delle diverse mansioni, come ad esempio l’indennità di articolazione oraria o quella di rischio o quella di luogo disagiato.</w:t>
      </w:r>
    </w:p>
    <w:p w:rsidR="00A50774" w:rsidRPr="00A04BBE" w:rsidRDefault="00A50774" w:rsidP="00F511AA">
      <w:pPr>
        <w:spacing w:after="120" w:line="360" w:lineRule="auto"/>
        <w:ind w:firstLine="708"/>
        <w:jc w:val="both"/>
        <w:rPr>
          <w:rFonts w:ascii="Bookman Old Style" w:hAnsi="Bookman Old Style"/>
          <w:sz w:val="24"/>
          <w:szCs w:val="24"/>
        </w:rPr>
      </w:pPr>
      <w:r w:rsidRPr="00A04BBE">
        <w:rPr>
          <w:rFonts w:ascii="Bookman Old Style" w:hAnsi="Bookman Old Style"/>
          <w:sz w:val="24"/>
          <w:szCs w:val="24"/>
        </w:rPr>
        <w:t xml:space="preserve">Nel 2012, </w:t>
      </w:r>
      <w:r>
        <w:rPr>
          <w:rFonts w:ascii="Bookman Old Style" w:hAnsi="Bookman Old Style"/>
          <w:sz w:val="24"/>
          <w:szCs w:val="24"/>
        </w:rPr>
        <w:t>l’ “i</w:t>
      </w:r>
      <w:r w:rsidRPr="00A04BBE">
        <w:rPr>
          <w:rFonts w:ascii="Bookman Old Style" w:hAnsi="Bookman Old Style"/>
          <w:sz w:val="24"/>
          <w:szCs w:val="24"/>
        </w:rPr>
        <w:t>ndennità di professionalità</w:t>
      </w:r>
      <w:r>
        <w:rPr>
          <w:rFonts w:ascii="Bookman Old Style" w:hAnsi="Bookman Old Style"/>
          <w:sz w:val="24"/>
          <w:szCs w:val="24"/>
        </w:rPr>
        <w:t>”</w:t>
      </w:r>
      <w:r w:rsidRPr="00A04BBE">
        <w:rPr>
          <w:rFonts w:ascii="Bookman Old Style" w:hAnsi="Bookman Old Style"/>
          <w:sz w:val="24"/>
          <w:szCs w:val="24"/>
        </w:rPr>
        <w:t xml:space="preserve"> cambia</w:t>
      </w:r>
      <w:r>
        <w:rPr>
          <w:rFonts w:ascii="Bookman Old Style" w:hAnsi="Bookman Old Style"/>
          <w:sz w:val="24"/>
          <w:szCs w:val="24"/>
        </w:rPr>
        <w:t>va</w:t>
      </w:r>
      <w:r w:rsidRPr="00A04BBE">
        <w:rPr>
          <w:rFonts w:ascii="Bookman Old Style" w:hAnsi="Bookman Old Style"/>
          <w:sz w:val="24"/>
          <w:szCs w:val="24"/>
        </w:rPr>
        <w:t xml:space="preserve"> solo di nome, venendo ridefinita come “Indennità Mensile Accessoria”, ma rimanendo, in realtà, inalterata sia la sua struttura che la sua funzione di elemento retributivo fisso mensile.  Ed è evidente che il mutamento </w:t>
      </w:r>
      <w:r>
        <w:rPr>
          <w:rFonts w:ascii="Bookman Old Style" w:hAnsi="Bookman Old Style"/>
          <w:sz w:val="24"/>
          <w:szCs w:val="24"/>
        </w:rPr>
        <w:t>del</w:t>
      </w:r>
      <w:r w:rsidRPr="00A04BBE">
        <w:rPr>
          <w:rFonts w:ascii="Bookman Old Style" w:hAnsi="Bookman Old Style"/>
          <w:sz w:val="24"/>
          <w:szCs w:val="24"/>
        </w:rPr>
        <w:t xml:space="preserve"> mero </w:t>
      </w:r>
      <w:proofErr w:type="spellStart"/>
      <w:r w:rsidRPr="00A04BBE">
        <w:rPr>
          <w:rFonts w:ascii="Bookman Old Style" w:hAnsi="Bookman Old Style"/>
          <w:i/>
          <w:sz w:val="24"/>
          <w:szCs w:val="24"/>
        </w:rPr>
        <w:t>nomen</w:t>
      </w:r>
      <w:proofErr w:type="spellEnd"/>
      <w:r w:rsidRPr="00A04BBE">
        <w:rPr>
          <w:rFonts w:ascii="Bookman Old Style" w:hAnsi="Bookman Old Style"/>
          <w:sz w:val="24"/>
          <w:szCs w:val="24"/>
        </w:rPr>
        <w:t xml:space="preserve"> giuridico non può certo far </w:t>
      </w:r>
      <w:r>
        <w:rPr>
          <w:rFonts w:ascii="Bookman Old Style" w:hAnsi="Bookman Old Style"/>
          <w:sz w:val="24"/>
          <w:szCs w:val="24"/>
        </w:rPr>
        <w:t>mutare</w:t>
      </w:r>
      <w:r w:rsidRPr="00A04BBE">
        <w:rPr>
          <w:rFonts w:ascii="Bookman Old Style" w:hAnsi="Bookman Old Style"/>
          <w:sz w:val="24"/>
          <w:szCs w:val="24"/>
        </w:rPr>
        <w:t xml:space="preserve"> la natura di istituto </w:t>
      </w:r>
      <w:r w:rsidRPr="00A04BBE">
        <w:rPr>
          <w:rFonts w:ascii="Bookman Old Style" w:hAnsi="Bookman Old Style"/>
          <w:sz w:val="24"/>
          <w:szCs w:val="24"/>
        </w:rPr>
        <w:lastRenderedPageBreak/>
        <w:t xml:space="preserve">retributivo fisso, confermata dal fatto che, anche in questa fase, l’indennità continuava ad essere erogata senza bisogno di alcuna valutazione preventiva. </w:t>
      </w:r>
    </w:p>
    <w:p w:rsidR="00A50774" w:rsidRPr="00A04BBE" w:rsidRDefault="00A50774" w:rsidP="00F511AA">
      <w:pPr>
        <w:spacing w:after="120" w:line="360" w:lineRule="auto"/>
        <w:ind w:firstLine="708"/>
        <w:jc w:val="both"/>
        <w:rPr>
          <w:rFonts w:ascii="Bookman Old Style" w:hAnsi="Bookman Old Style"/>
          <w:sz w:val="24"/>
          <w:szCs w:val="24"/>
        </w:rPr>
      </w:pPr>
      <w:r w:rsidRPr="00A04BBE">
        <w:rPr>
          <w:rFonts w:ascii="Bookman Old Style" w:hAnsi="Bookman Old Style"/>
          <w:sz w:val="24"/>
          <w:szCs w:val="24"/>
        </w:rPr>
        <w:t>Sicché l’IMA può ritenersi estranea alla retribuzione autenticamente accessoria, a cui fa riferimento l’art. 40, comma 3-bis, della D.lgs. n. 165/2001, come novellato dalla D.lgs. n. 150/2009, poiché, come si è detto, essa non ha una funzione premiale rispetto alle performance individuali, bensì quella di corrispettivo della prestazione ordinaria dovuta dal dipendente.</w:t>
      </w:r>
    </w:p>
    <w:p w:rsidR="00A50774" w:rsidRPr="00A04BBE" w:rsidRDefault="00A50774" w:rsidP="00F511AA">
      <w:pPr>
        <w:spacing w:after="120" w:line="360" w:lineRule="auto"/>
        <w:ind w:firstLine="708"/>
        <w:jc w:val="both"/>
        <w:rPr>
          <w:rFonts w:ascii="Bookman Old Style" w:hAnsi="Bookman Old Style"/>
          <w:sz w:val="24"/>
          <w:szCs w:val="24"/>
        </w:rPr>
      </w:pPr>
      <w:r w:rsidRPr="00A04BBE">
        <w:rPr>
          <w:rFonts w:ascii="Bookman Old Style" w:hAnsi="Bookman Old Style"/>
          <w:sz w:val="24"/>
          <w:szCs w:val="24"/>
        </w:rPr>
        <w:t>Ciò tra l’altro implica che il suddetto elemento della retribuzione fissa sia configurabile come un diritto quesito del lavoratore, con le caratteristiche, struttura e funzione di retribuzione ordinaria di cui si è detto.</w:t>
      </w:r>
    </w:p>
    <w:p w:rsidR="00A50774" w:rsidRPr="00A04BBE" w:rsidRDefault="00A50774" w:rsidP="00F511AA">
      <w:pPr>
        <w:spacing w:after="120" w:line="360" w:lineRule="auto"/>
        <w:ind w:firstLine="708"/>
        <w:jc w:val="both"/>
        <w:rPr>
          <w:rFonts w:ascii="Bookman Old Style" w:hAnsi="Bookman Old Style"/>
          <w:sz w:val="24"/>
          <w:szCs w:val="24"/>
        </w:rPr>
      </w:pPr>
      <w:r w:rsidRPr="00A04BBE">
        <w:rPr>
          <w:rFonts w:ascii="Bookman Old Style" w:hAnsi="Bookman Old Style"/>
          <w:sz w:val="24"/>
          <w:szCs w:val="24"/>
        </w:rPr>
        <w:t xml:space="preserve">Pertanto, il contratto collettivo integrativo che non preveda una valutazione del dipendente ai fini dell’erogazione dell’IMA non è in contrasto con il comma 3-bis del citato art. 40, proprio perché qui si tratta di retribuzione accessoria solo </w:t>
      </w:r>
      <w:r>
        <w:rPr>
          <w:rFonts w:ascii="Bookman Old Style" w:hAnsi="Bookman Old Style"/>
          <w:sz w:val="24"/>
          <w:szCs w:val="24"/>
        </w:rPr>
        <w:t>nominalmente</w:t>
      </w:r>
      <w:r w:rsidRPr="00A04BBE">
        <w:rPr>
          <w:rFonts w:ascii="Bookman Old Style" w:hAnsi="Bookman Old Style"/>
          <w:sz w:val="24"/>
          <w:szCs w:val="24"/>
        </w:rPr>
        <w:t>, ma non di fatto né di diritto, con conseguente inapplicabilità della citata norma del D.lgs. n. 165/2001.</w:t>
      </w:r>
    </w:p>
    <w:p w:rsidR="00A50774" w:rsidRPr="00A04BBE" w:rsidRDefault="00A50774" w:rsidP="00F511AA">
      <w:pPr>
        <w:spacing w:after="120" w:line="360" w:lineRule="auto"/>
        <w:ind w:firstLine="708"/>
        <w:jc w:val="both"/>
        <w:rPr>
          <w:rFonts w:ascii="Bookman Old Style" w:hAnsi="Bookman Old Style"/>
          <w:sz w:val="24"/>
          <w:szCs w:val="24"/>
        </w:rPr>
      </w:pPr>
      <w:r w:rsidRPr="00267B62">
        <w:rPr>
          <w:rFonts w:ascii="Bookman Old Style" w:hAnsi="Bookman Old Style"/>
          <w:b/>
          <w:sz w:val="24"/>
          <w:szCs w:val="24"/>
        </w:rPr>
        <w:t xml:space="preserve">B) </w:t>
      </w:r>
      <w:r>
        <w:rPr>
          <w:rFonts w:ascii="Bookman Old Style" w:hAnsi="Bookman Old Style"/>
          <w:sz w:val="24"/>
          <w:szCs w:val="24"/>
        </w:rPr>
        <w:t>Né</w:t>
      </w:r>
      <w:r w:rsidRPr="00A04BBE">
        <w:rPr>
          <w:rFonts w:ascii="Bookman Old Style" w:hAnsi="Bookman Old Style"/>
          <w:sz w:val="24"/>
          <w:szCs w:val="24"/>
        </w:rPr>
        <w:t xml:space="preserve"> ha </w:t>
      </w:r>
      <w:r>
        <w:rPr>
          <w:rFonts w:ascii="Bookman Old Style" w:hAnsi="Bookman Old Style"/>
          <w:sz w:val="24"/>
          <w:szCs w:val="24"/>
        </w:rPr>
        <w:t>modificato</w:t>
      </w:r>
      <w:r w:rsidRPr="00A04BBE">
        <w:rPr>
          <w:rFonts w:ascii="Bookman Old Style" w:hAnsi="Bookman Old Style"/>
          <w:sz w:val="24"/>
          <w:szCs w:val="24"/>
        </w:rPr>
        <w:t xml:space="preserve"> la</w:t>
      </w:r>
      <w:r>
        <w:rPr>
          <w:rFonts w:ascii="Bookman Old Style" w:hAnsi="Bookman Old Style"/>
          <w:sz w:val="24"/>
          <w:szCs w:val="24"/>
        </w:rPr>
        <w:t xml:space="preserve"> </w:t>
      </w:r>
      <w:r w:rsidRPr="00A04BBE">
        <w:rPr>
          <w:rFonts w:ascii="Bookman Old Style" w:hAnsi="Bookman Old Style"/>
          <w:sz w:val="24"/>
          <w:szCs w:val="24"/>
        </w:rPr>
        <w:t>natura di istituto retributivo fisso</w:t>
      </w:r>
      <w:r>
        <w:rPr>
          <w:rFonts w:ascii="Bookman Old Style" w:hAnsi="Bookman Old Style"/>
          <w:sz w:val="24"/>
          <w:szCs w:val="24"/>
        </w:rPr>
        <w:t xml:space="preserve"> dell’IMA,</w:t>
      </w:r>
      <w:r w:rsidRPr="00A04BBE">
        <w:rPr>
          <w:rFonts w:ascii="Bookman Old Style" w:hAnsi="Bookman Old Style"/>
          <w:sz w:val="24"/>
          <w:szCs w:val="24"/>
        </w:rPr>
        <w:t xml:space="preserve"> il fatto che l’Università di </w:t>
      </w:r>
      <w:proofErr w:type="spellStart"/>
      <w:r w:rsidRPr="00A04BBE">
        <w:rPr>
          <w:rFonts w:ascii="Bookman Old Style" w:hAnsi="Bookman Old Style"/>
          <w:sz w:val="24"/>
          <w:szCs w:val="24"/>
        </w:rPr>
        <w:t>Tor</w:t>
      </w:r>
      <w:proofErr w:type="spellEnd"/>
      <w:r w:rsidRPr="00A04BBE">
        <w:rPr>
          <w:rFonts w:ascii="Bookman Old Style" w:hAnsi="Bookman Old Style"/>
          <w:sz w:val="24"/>
          <w:szCs w:val="24"/>
        </w:rPr>
        <w:t xml:space="preserve"> Vergata</w:t>
      </w:r>
      <w:r>
        <w:rPr>
          <w:rFonts w:ascii="Bookman Old Style" w:hAnsi="Bookman Old Style"/>
          <w:sz w:val="24"/>
          <w:szCs w:val="24"/>
        </w:rPr>
        <w:t>, per il 2013,</w:t>
      </w:r>
      <w:r w:rsidRPr="00A04BBE">
        <w:rPr>
          <w:rFonts w:ascii="Bookman Old Style" w:hAnsi="Bookman Old Style"/>
          <w:sz w:val="24"/>
          <w:szCs w:val="24"/>
        </w:rPr>
        <w:t xml:space="preserve"> abb</w:t>
      </w:r>
      <w:r>
        <w:rPr>
          <w:rFonts w:ascii="Bookman Old Style" w:hAnsi="Bookman Old Style"/>
          <w:sz w:val="24"/>
          <w:szCs w:val="24"/>
        </w:rPr>
        <w:t xml:space="preserve">ia previsto, non a caso in via unilaterale, </w:t>
      </w:r>
      <w:r w:rsidRPr="00A04BBE">
        <w:rPr>
          <w:rFonts w:ascii="Bookman Old Style" w:hAnsi="Bookman Old Style"/>
          <w:sz w:val="24"/>
          <w:szCs w:val="24"/>
        </w:rPr>
        <w:t xml:space="preserve">una valutazione trimestrale </w:t>
      </w:r>
      <w:r>
        <w:rPr>
          <w:rFonts w:ascii="Bookman Old Style" w:hAnsi="Bookman Old Style"/>
          <w:sz w:val="24"/>
          <w:szCs w:val="24"/>
        </w:rPr>
        <w:t>a fini della sua erogazione</w:t>
      </w:r>
      <w:r w:rsidRPr="00A04BBE">
        <w:rPr>
          <w:rFonts w:ascii="Bookman Old Style" w:hAnsi="Bookman Old Style"/>
          <w:sz w:val="24"/>
          <w:szCs w:val="24"/>
        </w:rPr>
        <w:t xml:space="preserve">. Invero, tale valutazione, </w:t>
      </w:r>
      <w:r>
        <w:rPr>
          <w:rFonts w:ascii="Bookman Old Style" w:hAnsi="Bookman Old Style"/>
          <w:sz w:val="24"/>
          <w:szCs w:val="24"/>
        </w:rPr>
        <w:t>che doveva essere effettuata</w:t>
      </w:r>
      <w:r w:rsidRPr="00A04BBE">
        <w:rPr>
          <w:rFonts w:ascii="Bookman Old Style" w:hAnsi="Bookman Old Style"/>
          <w:sz w:val="24"/>
          <w:szCs w:val="24"/>
        </w:rPr>
        <w:t xml:space="preserve"> attraverso un’attestazione dei dirigenti, non ha inciso sulla struttura e funzione </w:t>
      </w:r>
      <w:r>
        <w:rPr>
          <w:rFonts w:ascii="Bookman Old Style" w:hAnsi="Bookman Old Style"/>
          <w:sz w:val="24"/>
          <w:szCs w:val="24"/>
        </w:rPr>
        <w:t>di tale emolumento</w:t>
      </w:r>
      <w:r w:rsidRPr="00A04BBE">
        <w:rPr>
          <w:rFonts w:ascii="Bookman Old Style" w:hAnsi="Bookman Old Style"/>
          <w:sz w:val="24"/>
          <w:szCs w:val="24"/>
        </w:rPr>
        <w:t xml:space="preserve">, </w:t>
      </w:r>
      <w:r>
        <w:rPr>
          <w:rFonts w:ascii="Bookman Old Style" w:hAnsi="Bookman Old Style"/>
          <w:sz w:val="24"/>
          <w:szCs w:val="24"/>
        </w:rPr>
        <w:t>il</w:t>
      </w:r>
      <w:r w:rsidRPr="00A04BBE">
        <w:rPr>
          <w:rFonts w:ascii="Bookman Old Style" w:hAnsi="Bookman Old Style"/>
          <w:sz w:val="24"/>
          <w:szCs w:val="24"/>
        </w:rPr>
        <w:t xml:space="preserve"> quale </w:t>
      </w:r>
      <w:r>
        <w:rPr>
          <w:rFonts w:ascii="Bookman Old Style" w:hAnsi="Bookman Old Style"/>
          <w:sz w:val="24"/>
          <w:szCs w:val="24"/>
        </w:rPr>
        <w:t>risulta essere stato erogato</w:t>
      </w:r>
      <w:r w:rsidRPr="00A04BBE">
        <w:rPr>
          <w:rFonts w:ascii="Bookman Old Style" w:hAnsi="Bookman Old Style"/>
          <w:sz w:val="24"/>
          <w:szCs w:val="24"/>
        </w:rPr>
        <w:t xml:space="preserve"> a tutti i dipendenti, tranne un caso eccezionale, dovuto a motivazioni del tutto particolari.</w:t>
      </w:r>
    </w:p>
    <w:p w:rsidR="00A50774" w:rsidRPr="00A04BBE" w:rsidRDefault="00A50774" w:rsidP="00F511AA">
      <w:pPr>
        <w:spacing w:after="120" w:line="360" w:lineRule="auto"/>
        <w:ind w:firstLine="708"/>
        <w:jc w:val="both"/>
        <w:rPr>
          <w:rFonts w:ascii="Bookman Old Style" w:hAnsi="Bookman Old Style"/>
          <w:sz w:val="24"/>
          <w:szCs w:val="24"/>
        </w:rPr>
      </w:pPr>
      <w:r w:rsidRPr="00A04BBE">
        <w:rPr>
          <w:rFonts w:ascii="Bookman Old Style" w:hAnsi="Bookman Old Style"/>
          <w:sz w:val="24"/>
          <w:szCs w:val="24"/>
        </w:rPr>
        <w:t>Nel contratto collettivo integrativo del 20 febbraio 2014 si è tornati invece alla coerenza rispetto alla vera natura giuridica di tale elemento fisso della retribuzione, venendo previsto, all’art. 5, che l’IMA sia erogata per dodici mensilità, senza alcuna valutazione, proprio al fine di assicurare che la retribuzione del dipendente sia rispettosa dei criteri inderogabili della proporzionalità e sufficienza di cui all’art. 36 Cost.</w:t>
      </w:r>
    </w:p>
    <w:p w:rsidR="00A50774" w:rsidRDefault="00A50774" w:rsidP="00F511AA">
      <w:pPr>
        <w:spacing w:after="120" w:line="360" w:lineRule="auto"/>
        <w:ind w:firstLine="708"/>
        <w:jc w:val="both"/>
        <w:rPr>
          <w:rFonts w:ascii="Bookman Old Style" w:hAnsi="Bookman Old Style"/>
          <w:sz w:val="24"/>
          <w:szCs w:val="24"/>
        </w:rPr>
      </w:pPr>
      <w:r>
        <w:rPr>
          <w:rFonts w:ascii="Bookman Old Style" w:hAnsi="Bookman Old Style"/>
          <w:sz w:val="24"/>
          <w:szCs w:val="24"/>
        </w:rPr>
        <w:t>Al riguardo è opportuno ricordare</w:t>
      </w:r>
      <w:r w:rsidRPr="00A04BBE">
        <w:rPr>
          <w:rFonts w:ascii="Bookman Old Style" w:hAnsi="Bookman Old Style"/>
          <w:sz w:val="24"/>
          <w:szCs w:val="24"/>
        </w:rPr>
        <w:t xml:space="preserve"> che, in alcuni contratti collettivi, la retribuzione base è più bassa di quella </w:t>
      </w:r>
      <w:r>
        <w:rPr>
          <w:rFonts w:ascii="Bookman Old Style" w:hAnsi="Bookman Old Style"/>
          <w:sz w:val="24"/>
          <w:szCs w:val="24"/>
        </w:rPr>
        <w:t xml:space="preserve">conforme </w:t>
      </w:r>
      <w:r w:rsidRPr="00A04BBE">
        <w:rPr>
          <w:rFonts w:ascii="Bookman Old Style" w:hAnsi="Bookman Old Style"/>
          <w:sz w:val="24"/>
          <w:szCs w:val="24"/>
        </w:rPr>
        <w:t>all’art. 36 Cost., proprio perché vi sono altre voci che la vanno ad integrar</w:t>
      </w:r>
      <w:r>
        <w:rPr>
          <w:rFonts w:ascii="Bookman Old Style" w:hAnsi="Bookman Old Style"/>
          <w:sz w:val="24"/>
          <w:szCs w:val="24"/>
        </w:rPr>
        <w:t>e</w:t>
      </w:r>
      <w:r w:rsidRPr="00A04BBE">
        <w:rPr>
          <w:rFonts w:ascii="Bookman Old Style" w:hAnsi="Bookman Old Style"/>
          <w:sz w:val="24"/>
          <w:szCs w:val="24"/>
        </w:rPr>
        <w:t>, come avviene, nella specie, con l’IMA.</w:t>
      </w:r>
      <w:r w:rsidRPr="00A04BBE">
        <w:rPr>
          <w:rFonts w:ascii="Bookman Old Style" w:hAnsi="Bookman Old Style"/>
          <w:sz w:val="24"/>
          <w:szCs w:val="24"/>
        </w:rPr>
        <w:tab/>
      </w:r>
    </w:p>
    <w:p w:rsidR="00A50774" w:rsidRPr="00A04BBE" w:rsidRDefault="00A50774" w:rsidP="00F511AA">
      <w:pPr>
        <w:spacing w:after="120" w:line="360" w:lineRule="auto"/>
        <w:ind w:firstLine="708"/>
        <w:jc w:val="both"/>
        <w:rPr>
          <w:rFonts w:ascii="Bookman Old Style" w:hAnsi="Bookman Old Style"/>
          <w:sz w:val="24"/>
          <w:szCs w:val="24"/>
        </w:rPr>
      </w:pPr>
      <w:r>
        <w:rPr>
          <w:rFonts w:ascii="Bookman Old Style" w:hAnsi="Bookman Old Style"/>
          <w:sz w:val="24"/>
          <w:szCs w:val="24"/>
        </w:rPr>
        <w:t xml:space="preserve">Ad </w:t>
      </w:r>
      <w:r w:rsidRPr="00A04BBE">
        <w:rPr>
          <w:rFonts w:ascii="Bookman Old Style" w:hAnsi="Bookman Old Style"/>
          <w:sz w:val="24"/>
          <w:szCs w:val="24"/>
        </w:rPr>
        <w:t xml:space="preserve">esempio, un impiegato </w:t>
      </w:r>
      <w:r>
        <w:rPr>
          <w:rFonts w:ascii="Bookman Old Style" w:hAnsi="Bookman Old Style"/>
          <w:sz w:val="24"/>
          <w:szCs w:val="24"/>
        </w:rPr>
        <w:t xml:space="preserve">dell’Università di </w:t>
      </w:r>
      <w:proofErr w:type="spellStart"/>
      <w:r>
        <w:rPr>
          <w:rFonts w:ascii="Bookman Old Style" w:hAnsi="Bookman Old Style"/>
          <w:sz w:val="24"/>
          <w:szCs w:val="24"/>
        </w:rPr>
        <w:t>Tor</w:t>
      </w:r>
      <w:proofErr w:type="spellEnd"/>
      <w:r>
        <w:rPr>
          <w:rFonts w:ascii="Bookman Old Style" w:hAnsi="Bookman Old Style"/>
          <w:sz w:val="24"/>
          <w:szCs w:val="24"/>
        </w:rPr>
        <w:t xml:space="preserve"> Vergata </w:t>
      </w:r>
      <w:r w:rsidRPr="00A04BBE">
        <w:rPr>
          <w:rFonts w:ascii="Bookman Old Style" w:hAnsi="Bookman Old Style"/>
          <w:sz w:val="24"/>
          <w:szCs w:val="24"/>
        </w:rPr>
        <w:t xml:space="preserve">di livello C2 </w:t>
      </w:r>
      <w:r>
        <w:rPr>
          <w:rFonts w:ascii="Bookman Old Style" w:hAnsi="Bookman Old Style"/>
          <w:sz w:val="24"/>
          <w:szCs w:val="24"/>
        </w:rPr>
        <w:t>risulta percepire</w:t>
      </w:r>
      <w:r w:rsidRPr="00A04BBE">
        <w:rPr>
          <w:rFonts w:ascii="Bookman Old Style" w:hAnsi="Bookman Old Style"/>
          <w:sz w:val="24"/>
          <w:szCs w:val="24"/>
        </w:rPr>
        <w:t xml:space="preserve"> una retribuzione mensile netta pari a 1.190,00 Euro, comprensiva anche dell’IMA computata in </w:t>
      </w:r>
      <w:r>
        <w:rPr>
          <w:rFonts w:ascii="Bookman Old Style" w:hAnsi="Bookman Old Style"/>
          <w:sz w:val="24"/>
          <w:szCs w:val="24"/>
        </w:rPr>
        <w:t xml:space="preserve">circa </w:t>
      </w:r>
      <w:r w:rsidRPr="00A04BBE">
        <w:rPr>
          <w:rFonts w:ascii="Bookman Old Style" w:hAnsi="Bookman Old Style"/>
          <w:sz w:val="24"/>
          <w:szCs w:val="24"/>
        </w:rPr>
        <w:t xml:space="preserve">123,00 Euro; qualora l’IMA non dovesse più essere corrisposta con carattere di generalità, è evidente che la retribuzione del medesimo dipendente, pari a soli 1.060,00 Euro, </w:t>
      </w:r>
      <w:r>
        <w:rPr>
          <w:rFonts w:ascii="Bookman Old Style" w:hAnsi="Bookman Old Style"/>
          <w:sz w:val="24"/>
          <w:szCs w:val="24"/>
        </w:rPr>
        <w:t>solleverebbe il problema, ben più serio, del rispetto</w:t>
      </w:r>
      <w:r w:rsidRPr="00A04BBE">
        <w:rPr>
          <w:rFonts w:ascii="Bookman Old Style" w:hAnsi="Bookman Old Style"/>
          <w:sz w:val="24"/>
          <w:szCs w:val="24"/>
        </w:rPr>
        <w:t xml:space="preserve"> </w:t>
      </w:r>
      <w:r>
        <w:rPr>
          <w:rFonts w:ascii="Bookman Old Style" w:hAnsi="Bookman Old Style"/>
          <w:sz w:val="24"/>
          <w:szCs w:val="24"/>
        </w:rPr>
        <w:t>de</w:t>
      </w:r>
      <w:r w:rsidRPr="00A04BBE">
        <w:rPr>
          <w:rFonts w:ascii="Bookman Old Style" w:hAnsi="Bookman Old Style"/>
          <w:sz w:val="24"/>
          <w:szCs w:val="24"/>
        </w:rPr>
        <w:t>ll’art. 36 Cost.</w:t>
      </w:r>
    </w:p>
    <w:p w:rsidR="00A50774" w:rsidRPr="00A04BBE" w:rsidRDefault="00A50774" w:rsidP="00F511AA">
      <w:pPr>
        <w:spacing w:after="120" w:line="360" w:lineRule="auto"/>
        <w:ind w:firstLine="708"/>
        <w:jc w:val="both"/>
        <w:rPr>
          <w:rFonts w:ascii="Bookman Old Style" w:hAnsi="Bookman Old Style"/>
          <w:sz w:val="24"/>
          <w:szCs w:val="24"/>
        </w:rPr>
      </w:pPr>
      <w:r>
        <w:rPr>
          <w:rFonts w:ascii="Bookman Old Style" w:hAnsi="Bookman Old Style"/>
          <w:b/>
          <w:sz w:val="24"/>
          <w:szCs w:val="24"/>
        </w:rPr>
        <w:t>C</w:t>
      </w:r>
      <w:r w:rsidRPr="00267B62">
        <w:rPr>
          <w:rFonts w:ascii="Bookman Old Style" w:hAnsi="Bookman Old Style"/>
          <w:b/>
          <w:sz w:val="24"/>
          <w:szCs w:val="24"/>
        </w:rPr>
        <w:t xml:space="preserve">) </w:t>
      </w:r>
      <w:r w:rsidRPr="00A04BBE">
        <w:rPr>
          <w:rFonts w:ascii="Bookman Old Style" w:hAnsi="Bookman Old Style"/>
          <w:sz w:val="24"/>
          <w:szCs w:val="24"/>
        </w:rPr>
        <w:t xml:space="preserve">Non smentiscono questa ricostruzione le previsioni dei contratti collettivi nazionali di comparto succedutesi nel tempo. Quella del 2005, all’art. 41, comma 4, stabiliva che la contrattazione collettiva integrativa istituisse un’indennità accessoria mensile che era distribuita per dodici mensilità, senza essere subordinata ad alcuna valutazione di </w:t>
      </w:r>
      <w:proofErr w:type="spellStart"/>
      <w:r w:rsidRPr="00A04BBE">
        <w:rPr>
          <w:rFonts w:ascii="Bookman Old Style" w:hAnsi="Bookman Old Style"/>
          <w:sz w:val="24"/>
          <w:szCs w:val="24"/>
        </w:rPr>
        <w:t>performances</w:t>
      </w:r>
      <w:proofErr w:type="spellEnd"/>
      <w:r w:rsidRPr="00A04BBE">
        <w:rPr>
          <w:rFonts w:ascii="Bookman Old Style" w:hAnsi="Bookman Old Style"/>
          <w:sz w:val="24"/>
          <w:szCs w:val="24"/>
        </w:rPr>
        <w:t xml:space="preserve"> del dipendente; anzi, nel prevedere espressamente che questo emolumento “</w:t>
      </w:r>
      <w:r w:rsidRPr="00A04BBE">
        <w:rPr>
          <w:rFonts w:ascii="Bookman Old Style" w:hAnsi="Bookman Old Style"/>
          <w:i/>
          <w:sz w:val="24"/>
          <w:szCs w:val="24"/>
        </w:rPr>
        <w:t>assorbe e sostituisce le indennità già corrisposte con carattere di generalità</w:t>
      </w:r>
      <w:r w:rsidRPr="00A04BBE">
        <w:rPr>
          <w:rFonts w:ascii="Bookman Old Style" w:hAnsi="Bookman Old Style"/>
          <w:sz w:val="24"/>
          <w:szCs w:val="24"/>
        </w:rPr>
        <w:t>”, rafforzava la sua natura giuridica di elemento fisso della retribuzione mensile.</w:t>
      </w:r>
    </w:p>
    <w:p w:rsidR="00A50774" w:rsidRPr="00A04BBE" w:rsidRDefault="00A50774" w:rsidP="00F511AA">
      <w:pPr>
        <w:spacing w:after="120" w:line="360" w:lineRule="auto"/>
        <w:ind w:firstLine="708"/>
        <w:jc w:val="both"/>
        <w:rPr>
          <w:rFonts w:ascii="Bookman Old Style" w:hAnsi="Bookman Old Style"/>
          <w:sz w:val="24"/>
          <w:szCs w:val="24"/>
        </w:rPr>
      </w:pPr>
      <w:r w:rsidRPr="00A04BBE">
        <w:rPr>
          <w:rFonts w:ascii="Bookman Old Style" w:hAnsi="Bookman Old Style"/>
          <w:sz w:val="24"/>
          <w:szCs w:val="24"/>
        </w:rPr>
        <w:t xml:space="preserve">Inoltre, il </w:t>
      </w:r>
      <w:proofErr w:type="spellStart"/>
      <w:r w:rsidRPr="00A04BBE">
        <w:rPr>
          <w:rFonts w:ascii="Bookman Old Style" w:hAnsi="Bookman Old Style"/>
          <w:sz w:val="24"/>
          <w:szCs w:val="24"/>
        </w:rPr>
        <w:t>C.c.n.l.</w:t>
      </w:r>
      <w:proofErr w:type="spellEnd"/>
      <w:r w:rsidRPr="00A04BBE">
        <w:rPr>
          <w:rFonts w:ascii="Bookman Old Style" w:hAnsi="Bookman Old Style"/>
          <w:sz w:val="24"/>
          <w:szCs w:val="24"/>
        </w:rPr>
        <w:t xml:space="preserve"> del 28 marzo 2006, all’art. 10, comma 1, lett. E, </w:t>
      </w:r>
      <w:r>
        <w:rPr>
          <w:rFonts w:ascii="Bookman Old Style" w:hAnsi="Bookman Old Style"/>
          <w:sz w:val="24"/>
          <w:szCs w:val="24"/>
        </w:rPr>
        <w:t>si limitava a precisare</w:t>
      </w:r>
      <w:r w:rsidRPr="00A04BBE">
        <w:rPr>
          <w:rFonts w:ascii="Bookman Old Style" w:hAnsi="Bookman Old Style"/>
          <w:sz w:val="24"/>
          <w:szCs w:val="24"/>
        </w:rPr>
        <w:t xml:space="preserve"> che l’IMA “</w:t>
      </w:r>
      <w:r w:rsidRPr="00A04BBE">
        <w:rPr>
          <w:rFonts w:ascii="Bookman Old Style" w:hAnsi="Bookman Old Style"/>
          <w:i/>
          <w:sz w:val="24"/>
          <w:szCs w:val="24"/>
        </w:rPr>
        <w:t>non è decurtabile se non in caso di sciopero</w:t>
      </w:r>
      <w:r w:rsidRPr="00A04BBE">
        <w:rPr>
          <w:rFonts w:ascii="Bookman Old Style" w:hAnsi="Bookman Old Style"/>
          <w:sz w:val="24"/>
          <w:szCs w:val="24"/>
        </w:rPr>
        <w:t>”.</w:t>
      </w:r>
    </w:p>
    <w:p w:rsidR="00A50774" w:rsidRDefault="00A50774" w:rsidP="00F511AA">
      <w:pPr>
        <w:spacing w:after="120" w:line="360" w:lineRule="auto"/>
        <w:ind w:firstLine="708"/>
        <w:jc w:val="both"/>
        <w:rPr>
          <w:rFonts w:ascii="Bookman Old Style" w:hAnsi="Bookman Old Style"/>
          <w:sz w:val="24"/>
          <w:szCs w:val="24"/>
        </w:rPr>
      </w:pPr>
      <w:r w:rsidRPr="00A04BBE">
        <w:rPr>
          <w:rFonts w:ascii="Bookman Old Style" w:hAnsi="Bookman Old Style"/>
          <w:sz w:val="24"/>
          <w:szCs w:val="24"/>
        </w:rPr>
        <w:t>Il successivo contratto collettivo del 2008 non modificava la suddetta natura giuridica dell’IMA, nonostante la sua menzione nell’art. 88, dedicato al fondo per le progressioni economiche e per la produttività. Invero, il comma 3 di tale articolo, nel far riferimento all’indennità mensile suddetta, nulla aggiunge</w:t>
      </w:r>
      <w:r>
        <w:rPr>
          <w:rFonts w:ascii="Bookman Old Style" w:hAnsi="Bookman Old Style"/>
          <w:sz w:val="24"/>
          <w:szCs w:val="24"/>
        </w:rPr>
        <w:t>va</w:t>
      </w:r>
      <w:r w:rsidRPr="00A04BBE">
        <w:rPr>
          <w:rFonts w:ascii="Bookman Old Style" w:hAnsi="Bookman Old Style"/>
          <w:sz w:val="24"/>
          <w:szCs w:val="24"/>
        </w:rPr>
        <w:t xml:space="preserve"> rispetto alle sue </w:t>
      </w:r>
      <w:r>
        <w:rPr>
          <w:rFonts w:ascii="Bookman Old Style" w:hAnsi="Bookman Old Style"/>
          <w:sz w:val="24"/>
          <w:szCs w:val="24"/>
        </w:rPr>
        <w:t xml:space="preserve">precedenti </w:t>
      </w:r>
      <w:r w:rsidRPr="00A04BBE">
        <w:rPr>
          <w:rFonts w:ascii="Bookman Old Style" w:hAnsi="Bookman Old Style"/>
          <w:sz w:val="24"/>
          <w:szCs w:val="24"/>
        </w:rPr>
        <w:t>caratteristiche, limitandosi soltanto a prevederne un incremento.</w:t>
      </w:r>
    </w:p>
    <w:p w:rsidR="00A50774" w:rsidRDefault="00A50774" w:rsidP="00F511AA">
      <w:pPr>
        <w:spacing w:after="120" w:line="360" w:lineRule="auto"/>
        <w:ind w:firstLine="708"/>
        <w:jc w:val="both"/>
        <w:rPr>
          <w:rFonts w:ascii="Bookman Old Style" w:hAnsi="Bookman Old Style"/>
          <w:sz w:val="24"/>
          <w:szCs w:val="24"/>
        </w:rPr>
      </w:pPr>
      <w:r>
        <w:rPr>
          <w:rFonts w:ascii="Bookman Old Style" w:hAnsi="Bookman Old Style"/>
          <w:b/>
          <w:sz w:val="24"/>
          <w:szCs w:val="24"/>
        </w:rPr>
        <w:t>D</w:t>
      </w:r>
      <w:r w:rsidRPr="00267B62">
        <w:rPr>
          <w:rFonts w:ascii="Bookman Old Style" w:hAnsi="Bookman Old Style"/>
          <w:b/>
          <w:sz w:val="24"/>
          <w:szCs w:val="24"/>
        </w:rPr>
        <w:t>)</w:t>
      </w:r>
      <w:r>
        <w:rPr>
          <w:rFonts w:ascii="Bookman Old Style" w:hAnsi="Bookman Old Style"/>
          <w:sz w:val="24"/>
          <w:szCs w:val="24"/>
        </w:rPr>
        <w:t xml:space="preserve"> Una volta assicurata la doverosa conformità al precetto costituzionale di cui all’art. 36 Cost., anche attraverso l’erogazione dell’IMA, il contratto collettivo integrativo del 20 febbraio 2014 ha potuto destinare ulteriori risorse, questa volta effettivamente dirette alla valorizzazione del merito e all’incentivazione della performance, sia per le elevate professionalità, agli artt. 2 e 3, sia soprattutto relativamente a progetti ed incentivi individuali rivolti alle categorie B, C, D, all’art. 4.</w:t>
      </w:r>
    </w:p>
    <w:p w:rsidR="00A50774" w:rsidRDefault="00A50774" w:rsidP="00F511AA">
      <w:pPr>
        <w:spacing w:after="120" w:line="360" w:lineRule="auto"/>
        <w:ind w:firstLine="708"/>
        <w:jc w:val="both"/>
        <w:rPr>
          <w:rFonts w:ascii="Bookman Old Style" w:hAnsi="Bookman Old Style"/>
          <w:sz w:val="24"/>
          <w:szCs w:val="24"/>
        </w:rPr>
      </w:pPr>
      <w:r>
        <w:rPr>
          <w:rFonts w:ascii="Bookman Old Style" w:hAnsi="Bookman Old Style"/>
          <w:sz w:val="24"/>
          <w:szCs w:val="24"/>
        </w:rPr>
        <w:t xml:space="preserve">In questo caso è evidente la natura di compenso accessorio collegato alle </w:t>
      </w:r>
      <w:proofErr w:type="spellStart"/>
      <w:r>
        <w:rPr>
          <w:rFonts w:ascii="Bookman Old Style" w:hAnsi="Bookman Old Style"/>
          <w:sz w:val="24"/>
          <w:szCs w:val="24"/>
        </w:rPr>
        <w:t>performances</w:t>
      </w:r>
      <w:proofErr w:type="spellEnd"/>
      <w:r>
        <w:rPr>
          <w:rFonts w:ascii="Bookman Old Style" w:hAnsi="Bookman Old Style"/>
          <w:sz w:val="24"/>
          <w:szCs w:val="24"/>
        </w:rPr>
        <w:t>, tanto è vero che il contratto collettivo lo subordina alla definizione di “</w:t>
      </w:r>
      <w:r w:rsidRPr="00E80E30">
        <w:rPr>
          <w:rFonts w:ascii="Bookman Old Style" w:hAnsi="Bookman Old Style"/>
          <w:i/>
          <w:sz w:val="24"/>
          <w:szCs w:val="24"/>
        </w:rPr>
        <w:t>progetti chiari, perseguibili e verificabili nell’ambito degli obiettivi strategici</w:t>
      </w:r>
      <w:r>
        <w:rPr>
          <w:rFonts w:ascii="Bookman Old Style" w:hAnsi="Bookman Old Style"/>
          <w:sz w:val="24"/>
          <w:szCs w:val="24"/>
        </w:rPr>
        <w:t xml:space="preserve"> </w:t>
      </w:r>
      <w:r w:rsidRPr="00E80E30">
        <w:rPr>
          <w:rFonts w:ascii="Bookman Old Style" w:hAnsi="Bookman Old Style"/>
          <w:i/>
          <w:sz w:val="24"/>
          <w:szCs w:val="24"/>
        </w:rPr>
        <w:t xml:space="preserve">da </w:t>
      </w:r>
      <w:proofErr w:type="spellStart"/>
      <w:r w:rsidRPr="00E80E30">
        <w:rPr>
          <w:rFonts w:ascii="Bookman Old Style" w:hAnsi="Bookman Old Style"/>
          <w:i/>
          <w:sz w:val="24"/>
          <w:szCs w:val="24"/>
        </w:rPr>
        <w:t>eseguire…</w:t>
      </w:r>
      <w:proofErr w:type="spellEnd"/>
      <w:r w:rsidRPr="00E80E30">
        <w:rPr>
          <w:rFonts w:ascii="Bookman Old Style" w:hAnsi="Bookman Old Style"/>
          <w:i/>
          <w:sz w:val="24"/>
          <w:szCs w:val="24"/>
        </w:rPr>
        <w:t xml:space="preserve"> in orari pomeridiani, in modo che le attività connesse si esplicano nelle fasce in cui la necessità di compresenza di personale e l’accesso dell’utenza sono minori</w:t>
      </w:r>
      <w:r>
        <w:rPr>
          <w:rFonts w:ascii="Bookman Old Style" w:hAnsi="Bookman Old Style"/>
          <w:sz w:val="24"/>
          <w:szCs w:val="24"/>
        </w:rPr>
        <w:t>”. Ed infatti l’incentivo è sottoposto ad una verifica periodica del raggiungimento degli obiettivi, e viene attribuito in proporzione al grado di raggiungimento degli stessi.</w:t>
      </w:r>
    </w:p>
    <w:p w:rsidR="00A50774" w:rsidRPr="00A04BBE" w:rsidRDefault="00A50774" w:rsidP="00F511AA">
      <w:pPr>
        <w:spacing w:after="120" w:line="360" w:lineRule="auto"/>
        <w:jc w:val="center"/>
        <w:rPr>
          <w:rFonts w:ascii="Bookman Old Style" w:hAnsi="Bookman Old Style"/>
          <w:sz w:val="24"/>
          <w:szCs w:val="24"/>
        </w:rPr>
      </w:pPr>
      <w:proofErr w:type="spellStart"/>
      <w:r w:rsidRPr="00A04BBE">
        <w:rPr>
          <w:rFonts w:ascii="Bookman Old Style" w:hAnsi="Bookman Old Style"/>
          <w:sz w:val="24"/>
          <w:szCs w:val="24"/>
        </w:rPr>
        <w:t>oooOooo</w:t>
      </w:r>
      <w:proofErr w:type="spellEnd"/>
    </w:p>
    <w:p w:rsidR="00A50774" w:rsidRPr="00A04BBE" w:rsidRDefault="00A50774" w:rsidP="00F511AA">
      <w:pPr>
        <w:spacing w:after="120" w:line="360" w:lineRule="auto"/>
        <w:ind w:firstLine="708"/>
        <w:jc w:val="both"/>
        <w:rPr>
          <w:rFonts w:ascii="Bookman Old Style" w:hAnsi="Bookman Old Style"/>
          <w:sz w:val="24"/>
          <w:szCs w:val="24"/>
        </w:rPr>
      </w:pPr>
      <w:r w:rsidRPr="00A04BBE">
        <w:rPr>
          <w:rFonts w:ascii="Bookman Old Style" w:hAnsi="Bookman Old Style"/>
          <w:b/>
          <w:sz w:val="24"/>
          <w:szCs w:val="24"/>
        </w:rPr>
        <w:t>2)</w:t>
      </w:r>
      <w:r w:rsidRPr="00A04BBE">
        <w:rPr>
          <w:rFonts w:ascii="Bookman Old Style" w:hAnsi="Bookman Old Style"/>
          <w:sz w:val="24"/>
          <w:szCs w:val="24"/>
        </w:rPr>
        <w:t xml:space="preserve"> In subordine, anche nella </w:t>
      </w:r>
      <w:r>
        <w:rPr>
          <w:rFonts w:ascii="Bookman Old Style" w:hAnsi="Bookman Old Style"/>
          <w:sz w:val="24"/>
          <w:szCs w:val="24"/>
        </w:rPr>
        <w:t>non condivisibile</w:t>
      </w:r>
      <w:r w:rsidRPr="00A04BBE">
        <w:rPr>
          <w:rFonts w:ascii="Bookman Old Style" w:hAnsi="Bookman Old Style"/>
          <w:sz w:val="24"/>
          <w:szCs w:val="24"/>
        </w:rPr>
        <w:t xml:space="preserve"> ipotesi in cui si ritenesse erroneamente di includere l’IMA nella retribuzione accessoria di cui all’art. 40, comma 3-bis, del D.lgs. n. 165/2001, egualmente sarebbe legittimo l’art. 5 del contratto integrativo del 20 febbraio 2014, che prevede l’erogazione dell’IMA senza subordinarla ad alcuna valutazione.</w:t>
      </w:r>
    </w:p>
    <w:p w:rsidR="00A50774" w:rsidRPr="00A04BBE" w:rsidRDefault="00A50774" w:rsidP="00F511AA">
      <w:pPr>
        <w:spacing w:after="120" w:line="360" w:lineRule="auto"/>
        <w:ind w:firstLine="708"/>
        <w:jc w:val="both"/>
        <w:rPr>
          <w:rFonts w:ascii="Bookman Old Style" w:hAnsi="Bookman Old Style"/>
          <w:sz w:val="24"/>
          <w:szCs w:val="24"/>
        </w:rPr>
      </w:pPr>
      <w:r>
        <w:rPr>
          <w:rFonts w:ascii="Bookman Old Style" w:hAnsi="Bookman Old Style"/>
          <w:sz w:val="24"/>
          <w:szCs w:val="24"/>
        </w:rPr>
        <w:t xml:space="preserve">È pur vero che </w:t>
      </w:r>
      <w:r w:rsidRPr="00A04BBE">
        <w:rPr>
          <w:rFonts w:ascii="Bookman Old Style" w:hAnsi="Bookman Old Style"/>
          <w:sz w:val="24"/>
          <w:szCs w:val="24"/>
        </w:rPr>
        <w:t xml:space="preserve">l’art. 65 del D.lgs. n. 150/2009, </w:t>
      </w:r>
      <w:r>
        <w:rPr>
          <w:rFonts w:ascii="Bookman Old Style" w:hAnsi="Bookman Old Style"/>
          <w:sz w:val="24"/>
          <w:szCs w:val="24"/>
        </w:rPr>
        <w:t xml:space="preserve">stabilisce </w:t>
      </w:r>
      <w:r w:rsidRPr="00A04BBE">
        <w:rPr>
          <w:rFonts w:ascii="Bookman Old Style" w:hAnsi="Bookman Old Style"/>
          <w:sz w:val="24"/>
          <w:szCs w:val="24"/>
        </w:rPr>
        <w:t xml:space="preserve">che i contratti collettivi integrativi, vigenti alla data di pubblicazione del decreto medesimo, </w:t>
      </w:r>
      <w:r>
        <w:rPr>
          <w:rFonts w:ascii="Bookman Old Style" w:hAnsi="Bookman Old Style"/>
          <w:sz w:val="24"/>
          <w:szCs w:val="24"/>
        </w:rPr>
        <w:t>devono</w:t>
      </w:r>
      <w:r w:rsidRPr="00A04BBE">
        <w:rPr>
          <w:rFonts w:ascii="Bookman Old Style" w:hAnsi="Bookman Old Style"/>
          <w:sz w:val="24"/>
          <w:szCs w:val="24"/>
        </w:rPr>
        <w:t xml:space="preserve"> essere adeguati, entro il 31 dicembre 2010, a “</w:t>
      </w:r>
      <w:r w:rsidRPr="00A04BBE">
        <w:rPr>
          <w:rFonts w:ascii="Bookman Old Style" w:hAnsi="Bookman Old Style"/>
          <w:i/>
          <w:sz w:val="24"/>
          <w:szCs w:val="24"/>
        </w:rPr>
        <w:t>quanto previsto dalle disposizioni del Titolo III del presente decreto</w:t>
      </w:r>
      <w:r>
        <w:rPr>
          <w:rFonts w:ascii="Bookman Old Style" w:hAnsi="Bookman Old Style"/>
          <w:sz w:val="24"/>
          <w:szCs w:val="24"/>
        </w:rPr>
        <w:t>”; e q</w:t>
      </w:r>
      <w:r w:rsidRPr="00A04BBE">
        <w:rPr>
          <w:rFonts w:ascii="Bookman Old Style" w:hAnsi="Bookman Old Style"/>
          <w:sz w:val="24"/>
          <w:szCs w:val="24"/>
        </w:rPr>
        <w:t>uesta disposizione è stata rafforzata da una norma di (inutile) interpretazione autentica, che ha appunto ribadito che ai contratti collettivi integrativi sottoscritti successivamente all’entrata in vigore del D.lgs. n. 150/2009 “</w:t>
      </w:r>
      <w:r w:rsidRPr="00A04BBE">
        <w:rPr>
          <w:rFonts w:ascii="Bookman Old Style" w:hAnsi="Bookman Old Style"/>
          <w:i/>
          <w:sz w:val="24"/>
          <w:szCs w:val="24"/>
        </w:rPr>
        <w:t>si applicano immediatamente le disposizioni introdotte dal medesimo decreto</w:t>
      </w:r>
      <w:r w:rsidRPr="00A04BBE">
        <w:rPr>
          <w:rFonts w:ascii="Bookman Old Style" w:hAnsi="Bookman Old Style"/>
          <w:sz w:val="24"/>
          <w:szCs w:val="24"/>
        </w:rPr>
        <w:t>”.</w:t>
      </w:r>
    </w:p>
    <w:p w:rsidR="00A50774" w:rsidRDefault="00A50774" w:rsidP="00F511AA">
      <w:pPr>
        <w:spacing w:after="120" w:line="360" w:lineRule="auto"/>
        <w:ind w:firstLine="708"/>
        <w:jc w:val="both"/>
        <w:rPr>
          <w:rFonts w:ascii="Bookman Old Style" w:hAnsi="Bookman Old Style"/>
          <w:sz w:val="24"/>
          <w:szCs w:val="24"/>
        </w:rPr>
      </w:pPr>
      <w:r>
        <w:rPr>
          <w:rFonts w:ascii="Bookman Old Style" w:hAnsi="Bookman Old Style"/>
          <w:sz w:val="24"/>
          <w:szCs w:val="24"/>
        </w:rPr>
        <w:t>Tuttavia</w:t>
      </w:r>
      <w:r w:rsidRPr="00A04BBE">
        <w:rPr>
          <w:rFonts w:ascii="Bookman Old Style" w:hAnsi="Bookman Old Style"/>
          <w:sz w:val="24"/>
          <w:szCs w:val="24"/>
        </w:rPr>
        <w:t>,</w:t>
      </w:r>
      <w:r>
        <w:rPr>
          <w:rFonts w:ascii="Bookman Old Style" w:hAnsi="Bookman Old Style"/>
          <w:sz w:val="24"/>
          <w:szCs w:val="24"/>
        </w:rPr>
        <w:t xml:space="preserve"> questo adeguamento del contratto integrativo al Titolo III del suddetto decreto non implica automaticamente l’obbligo da parte della contrattazione collettiva di attuare</w:t>
      </w:r>
      <w:r w:rsidRPr="00A04BBE">
        <w:rPr>
          <w:rFonts w:ascii="Bookman Old Style" w:hAnsi="Bookman Old Style"/>
          <w:sz w:val="24"/>
          <w:szCs w:val="24"/>
        </w:rPr>
        <w:t xml:space="preserve"> </w:t>
      </w:r>
      <w:r>
        <w:rPr>
          <w:rFonts w:ascii="Bookman Old Style" w:hAnsi="Bookman Old Style"/>
          <w:sz w:val="24"/>
          <w:szCs w:val="24"/>
        </w:rPr>
        <w:t xml:space="preserve">proprio quegli strumenti di incentivazione, i cui </w:t>
      </w:r>
      <w:r w:rsidRPr="00A04BBE">
        <w:rPr>
          <w:rFonts w:ascii="Bookman Old Style" w:hAnsi="Bookman Old Style"/>
          <w:sz w:val="24"/>
          <w:szCs w:val="24"/>
        </w:rPr>
        <w:t>meccanismi di</w:t>
      </w:r>
      <w:r>
        <w:rPr>
          <w:rFonts w:ascii="Bookman Old Style" w:hAnsi="Bookman Old Style"/>
          <w:sz w:val="24"/>
          <w:szCs w:val="24"/>
        </w:rPr>
        <w:t xml:space="preserve"> valutazione</w:t>
      </w:r>
      <w:r w:rsidRPr="00A04BBE">
        <w:rPr>
          <w:rFonts w:ascii="Bookman Old Style" w:hAnsi="Bookman Old Style"/>
          <w:sz w:val="24"/>
          <w:szCs w:val="24"/>
        </w:rPr>
        <w:t xml:space="preserve"> dell</w:t>
      </w:r>
      <w:r>
        <w:rPr>
          <w:rFonts w:ascii="Bookman Old Style" w:hAnsi="Bookman Old Style"/>
          <w:sz w:val="24"/>
          <w:szCs w:val="24"/>
        </w:rPr>
        <w:t>a performance</w:t>
      </w:r>
      <w:r w:rsidRPr="00A04BBE">
        <w:rPr>
          <w:rFonts w:ascii="Bookman Old Style" w:hAnsi="Bookman Old Style"/>
          <w:sz w:val="24"/>
          <w:szCs w:val="24"/>
        </w:rPr>
        <w:t xml:space="preserve"> dei</w:t>
      </w:r>
      <w:r>
        <w:rPr>
          <w:rFonts w:ascii="Bookman Old Style" w:hAnsi="Bookman Old Style"/>
          <w:sz w:val="24"/>
          <w:szCs w:val="24"/>
        </w:rPr>
        <w:t xml:space="preserve"> dipendenti sono tipizzati negli artt. 19 e seguenti del suddetto Titolo III</w:t>
      </w:r>
      <w:r w:rsidRPr="00A04BBE">
        <w:rPr>
          <w:rFonts w:ascii="Bookman Old Style" w:hAnsi="Bookman Old Style"/>
          <w:sz w:val="24"/>
          <w:szCs w:val="24"/>
        </w:rPr>
        <w:t>.</w:t>
      </w:r>
    </w:p>
    <w:p w:rsidR="00A50774" w:rsidRPr="00A04BBE" w:rsidRDefault="00A50774" w:rsidP="00F511AA">
      <w:pPr>
        <w:spacing w:after="120" w:line="360" w:lineRule="auto"/>
        <w:ind w:firstLine="708"/>
        <w:jc w:val="both"/>
        <w:rPr>
          <w:rFonts w:ascii="Bookman Old Style" w:hAnsi="Bookman Old Style"/>
          <w:sz w:val="24"/>
          <w:szCs w:val="24"/>
        </w:rPr>
      </w:pPr>
      <w:r>
        <w:rPr>
          <w:rFonts w:ascii="Bookman Old Style" w:hAnsi="Bookman Old Style"/>
          <w:sz w:val="24"/>
          <w:szCs w:val="24"/>
        </w:rPr>
        <w:t xml:space="preserve">Infatti, </w:t>
      </w:r>
      <w:r w:rsidRPr="00A04BBE">
        <w:rPr>
          <w:rFonts w:ascii="Bookman Old Style" w:hAnsi="Bookman Old Style"/>
          <w:sz w:val="24"/>
          <w:szCs w:val="24"/>
        </w:rPr>
        <w:t xml:space="preserve">trova </w:t>
      </w:r>
      <w:r>
        <w:rPr>
          <w:rFonts w:ascii="Bookman Old Style" w:hAnsi="Bookman Old Style"/>
          <w:sz w:val="24"/>
          <w:szCs w:val="24"/>
        </w:rPr>
        <w:t xml:space="preserve">qui </w:t>
      </w:r>
      <w:r w:rsidRPr="00A04BBE">
        <w:rPr>
          <w:rFonts w:ascii="Bookman Old Style" w:hAnsi="Bookman Old Style"/>
          <w:sz w:val="24"/>
          <w:szCs w:val="24"/>
        </w:rPr>
        <w:t xml:space="preserve">applicazione il principio generale, valido per tutti gli altri emolumenti comunque legati alla produttività, secondo cui le amministrazioni pubbliche promuovono il miglioramento della performance organizzativa ed individuale </w:t>
      </w:r>
      <w:r w:rsidRPr="00A04BBE">
        <w:rPr>
          <w:rFonts w:ascii="Bookman Old Style" w:hAnsi="Bookman Old Style"/>
          <w:sz w:val="24"/>
          <w:szCs w:val="24"/>
          <w:u w:val="single"/>
        </w:rPr>
        <w:t>anche, ma non solo</w:t>
      </w:r>
      <w:r w:rsidRPr="00A04BBE">
        <w:rPr>
          <w:rFonts w:ascii="Bookman Old Style" w:hAnsi="Bookman Old Style"/>
          <w:sz w:val="24"/>
          <w:szCs w:val="24"/>
        </w:rPr>
        <w:t>, attraverso meccanismi di valutazione del merito (cfr. art. 18, comma 1, del D.lgs. n. 150/2009).</w:t>
      </w:r>
    </w:p>
    <w:p w:rsidR="00A50774" w:rsidRDefault="00A50774" w:rsidP="00F511AA">
      <w:pPr>
        <w:spacing w:after="120" w:line="360" w:lineRule="auto"/>
        <w:ind w:firstLine="708"/>
        <w:jc w:val="both"/>
        <w:rPr>
          <w:rFonts w:ascii="Bookman Old Style" w:hAnsi="Bookman Old Style"/>
          <w:sz w:val="24"/>
          <w:szCs w:val="24"/>
        </w:rPr>
      </w:pPr>
      <w:r>
        <w:rPr>
          <w:rFonts w:ascii="Bookman Old Style" w:hAnsi="Bookman Old Style"/>
          <w:sz w:val="24"/>
          <w:szCs w:val="24"/>
        </w:rPr>
        <w:t xml:space="preserve">Né potrebbe sostenersi che l’IMA rientri negli strumenti tassativamente elencati agli artt. 20 e seguenti del Titolo III del D.lgs. n. 150/2009. </w:t>
      </w:r>
    </w:p>
    <w:p w:rsidR="00A50774" w:rsidRPr="00A04BBE" w:rsidRDefault="00A50774" w:rsidP="00F511AA">
      <w:pPr>
        <w:spacing w:after="120" w:line="360" w:lineRule="auto"/>
        <w:ind w:firstLine="708"/>
        <w:jc w:val="both"/>
        <w:rPr>
          <w:rFonts w:ascii="Bookman Old Style" w:hAnsi="Bookman Old Style"/>
          <w:sz w:val="24"/>
          <w:szCs w:val="24"/>
        </w:rPr>
      </w:pPr>
      <w:r>
        <w:rPr>
          <w:rFonts w:ascii="Bookman Old Style" w:hAnsi="Bookman Old Style"/>
          <w:sz w:val="24"/>
          <w:szCs w:val="24"/>
        </w:rPr>
        <w:t>Tali strumenti, come è noto, sono</w:t>
      </w:r>
      <w:r w:rsidRPr="00A04BBE">
        <w:rPr>
          <w:rFonts w:ascii="Bookman Old Style" w:hAnsi="Bookman Old Style"/>
          <w:sz w:val="24"/>
          <w:szCs w:val="24"/>
        </w:rPr>
        <w:t xml:space="preserve">: a) il bonus annuale delle eccellenze; b) il premio annuale per l’innovazione; c) le progressioni economiche; d) le progressioni di carriera; e) l’attribuzione di incarichi e responsabilità; f) l’accesso a percorsi di alta formazione e di crescita professionale in ambito nazionale ed internazionale. </w:t>
      </w:r>
    </w:p>
    <w:p w:rsidR="00A50774" w:rsidRPr="00A04BBE" w:rsidRDefault="00A50774" w:rsidP="00F511AA">
      <w:pPr>
        <w:spacing w:after="120" w:line="360" w:lineRule="auto"/>
        <w:ind w:firstLine="708"/>
        <w:jc w:val="both"/>
        <w:rPr>
          <w:rFonts w:ascii="Bookman Old Style" w:hAnsi="Bookman Old Style"/>
          <w:sz w:val="24"/>
          <w:szCs w:val="24"/>
        </w:rPr>
      </w:pPr>
      <w:r w:rsidRPr="00A04BBE">
        <w:rPr>
          <w:rFonts w:ascii="Bookman Old Style" w:hAnsi="Bookman Old Style"/>
          <w:sz w:val="24"/>
          <w:szCs w:val="24"/>
        </w:rPr>
        <w:t xml:space="preserve">È evidente che l’IMA non rientra fra gli strumenti previsti alle lettere da c) ad f) sopracitate (progressioni economiche; progressioni di carriera; attribuzione di incarichi e responsabilità; accesso a percorsi di alta formazione e di crescita professionale in ambito nazionale ed internazionale). </w:t>
      </w:r>
    </w:p>
    <w:p w:rsidR="00A50774" w:rsidRPr="00A04BBE" w:rsidRDefault="00A50774" w:rsidP="00F511AA">
      <w:pPr>
        <w:spacing w:after="120" w:line="360" w:lineRule="auto"/>
        <w:ind w:firstLine="708"/>
        <w:jc w:val="both"/>
        <w:rPr>
          <w:rFonts w:ascii="Bookman Old Style" w:hAnsi="Bookman Old Style"/>
          <w:sz w:val="24"/>
          <w:szCs w:val="24"/>
        </w:rPr>
      </w:pPr>
      <w:r w:rsidRPr="00A04BBE">
        <w:rPr>
          <w:rFonts w:ascii="Bookman Old Style" w:hAnsi="Bookman Old Style"/>
          <w:sz w:val="24"/>
          <w:szCs w:val="24"/>
        </w:rPr>
        <w:t xml:space="preserve">Neppure sembra che l’IMA possa essere assimilata ad un bonus per l’eccellenza, ai sensi dell’art. 21, in quanto quest’ultimo riguarda </w:t>
      </w:r>
      <w:proofErr w:type="spellStart"/>
      <w:r w:rsidRPr="00A04BBE">
        <w:rPr>
          <w:rFonts w:ascii="Bookman Old Style" w:hAnsi="Bookman Old Style"/>
          <w:sz w:val="24"/>
          <w:szCs w:val="24"/>
        </w:rPr>
        <w:t>performances</w:t>
      </w:r>
      <w:proofErr w:type="spellEnd"/>
      <w:r w:rsidRPr="00A04BBE">
        <w:rPr>
          <w:rFonts w:ascii="Bookman Old Style" w:hAnsi="Bookman Old Style"/>
          <w:sz w:val="24"/>
          <w:szCs w:val="24"/>
        </w:rPr>
        <w:t xml:space="preserve"> esemplari dei singoli dipendenti, circoscritte a non oltre il 5% del personale. </w:t>
      </w:r>
      <w:r>
        <w:rPr>
          <w:rFonts w:ascii="Bookman Old Style" w:hAnsi="Bookman Old Style"/>
          <w:sz w:val="24"/>
          <w:szCs w:val="24"/>
        </w:rPr>
        <w:t>Il bonus è,</w:t>
      </w:r>
      <w:r w:rsidRPr="00A04BBE">
        <w:rPr>
          <w:rFonts w:ascii="Bookman Old Style" w:hAnsi="Bookman Old Style"/>
          <w:sz w:val="24"/>
          <w:szCs w:val="24"/>
        </w:rPr>
        <w:t xml:space="preserve"> dunque, uno strumento del tutto eccezionale e straordinario, incompatibile con la natura e la funzione dell’</w:t>
      </w:r>
      <w:r>
        <w:rPr>
          <w:rFonts w:ascii="Bookman Old Style" w:hAnsi="Bookman Old Style"/>
          <w:sz w:val="24"/>
          <w:szCs w:val="24"/>
        </w:rPr>
        <w:t>IMA, la quale</w:t>
      </w:r>
      <w:r w:rsidRPr="00A04BBE">
        <w:rPr>
          <w:rFonts w:ascii="Bookman Old Style" w:hAnsi="Bookman Old Style"/>
          <w:sz w:val="24"/>
          <w:szCs w:val="24"/>
        </w:rPr>
        <w:t>, come si è visto sopra, nasce per sostituire tutte le precedenti indennità “</w:t>
      </w:r>
      <w:r w:rsidRPr="00A04BBE">
        <w:rPr>
          <w:rFonts w:ascii="Bookman Old Style" w:hAnsi="Bookman Old Style"/>
          <w:i/>
          <w:sz w:val="24"/>
          <w:szCs w:val="24"/>
        </w:rPr>
        <w:t>corrisposte con carattere di generalità</w:t>
      </w:r>
      <w:r w:rsidRPr="00A04BBE">
        <w:rPr>
          <w:rFonts w:ascii="Bookman Old Style" w:hAnsi="Bookman Old Style"/>
          <w:sz w:val="24"/>
          <w:szCs w:val="24"/>
        </w:rPr>
        <w:t xml:space="preserve">” (cfr. art. 41, comma 4, del </w:t>
      </w:r>
      <w:proofErr w:type="spellStart"/>
      <w:r w:rsidRPr="00A04BBE">
        <w:rPr>
          <w:rFonts w:ascii="Bookman Old Style" w:hAnsi="Bookman Old Style"/>
          <w:sz w:val="24"/>
          <w:szCs w:val="24"/>
        </w:rPr>
        <w:t>C.c.n.l.</w:t>
      </w:r>
      <w:proofErr w:type="spellEnd"/>
      <w:r w:rsidRPr="00A04BBE">
        <w:rPr>
          <w:rFonts w:ascii="Bookman Old Style" w:hAnsi="Bookman Old Style"/>
          <w:sz w:val="24"/>
          <w:szCs w:val="24"/>
        </w:rPr>
        <w:t xml:space="preserve"> del 27 gennaio 2005).</w:t>
      </w:r>
    </w:p>
    <w:p w:rsidR="00A50774" w:rsidRPr="00A04BBE" w:rsidRDefault="00A50774" w:rsidP="00F511AA">
      <w:pPr>
        <w:spacing w:after="120" w:line="360" w:lineRule="auto"/>
        <w:ind w:firstLine="708"/>
        <w:jc w:val="both"/>
        <w:rPr>
          <w:rFonts w:ascii="Bookman Old Style" w:hAnsi="Bookman Old Style"/>
          <w:sz w:val="24"/>
          <w:szCs w:val="24"/>
        </w:rPr>
      </w:pPr>
      <w:r w:rsidRPr="00A04BBE">
        <w:rPr>
          <w:rFonts w:ascii="Bookman Old Style" w:hAnsi="Bookman Old Style"/>
          <w:sz w:val="24"/>
          <w:szCs w:val="24"/>
        </w:rPr>
        <w:t xml:space="preserve">Neppure sembra che l’IMA possa essere assimilata ad un premio annuale per l’innovazione, ai sensi dell’art. 22, in quanto la stessa corresponsione mensile dell’indennità è evidentemente incompatibile con il meccanismo di valutazione annuale previsto per tale premio. </w:t>
      </w:r>
    </w:p>
    <w:p w:rsidR="00A50774" w:rsidRPr="00A04BBE" w:rsidRDefault="00A50774" w:rsidP="00F511AA">
      <w:pPr>
        <w:spacing w:after="120" w:line="360" w:lineRule="auto"/>
        <w:ind w:firstLine="708"/>
        <w:jc w:val="both"/>
        <w:rPr>
          <w:rFonts w:ascii="Bookman Old Style" w:hAnsi="Bookman Old Style"/>
          <w:sz w:val="24"/>
          <w:szCs w:val="24"/>
        </w:rPr>
      </w:pPr>
      <w:r w:rsidRPr="00A04BBE">
        <w:rPr>
          <w:rFonts w:ascii="Bookman Old Style" w:hAnsi="Bookman Old Style"/>
          <w:sz w:val="24"/>
          <w:szCs w:val="24"/>
        </w:rPr>
        <w:t>Inoltre, il premio per l’innovazione viene attribuito anche ai dirigenti, mentre è pacifico che l’IMA viene corrisposta esclusivamente agli impiegati appartenenti ai livelli B, C e D, ai sensi dell’art. 5 del contratto integrativo del 20 febbraio 2014.</w:t>
      </w:r>
    </w:p>
    <w:p w:rsidR="00A50774" w:rsidRPr="00A04BBE" w:rsidRDefault="00A50774" w:rsidP="00F511AA">
      <w:pPr>
        <w:spacing w:after="120" w:line="360" w:lineRule="auto"/>
        <w:ind w:firstLine="708"/>
        <w:jc w:val="both"/>
        <w:rPr>
          <w:rFonts w:ascii="Bookman Old Style" w:hAnsi="Bookman Old Style"/>
          <w:sz w:val="24"/>
          <w:szCs w:val="24"/>
        </w:rPr>
      </w:pPr>
      <w:r w:rsidRPr="00A04BBE">
        <w:rPr>
          <w:rFonts w:ascii="Bookman Old Style" w:hAnsi="Bookman Old Style"/>
          <w:sz w:val="24"/>
          <w:szCs w:val="24"/>
        </w:rPr>
        <w:t>Infine, anche in questa ipotesi subordinata, in cui si dovesse ritenere l’IMA un istituto retributivo accessorio, collegato all’attività svolta dai dipendenti, è evidente l’incompatibilità di una tale attività con  la nozione di “progetto” a cui fa riferimento il citato art. 22. Invero, ai sensi di tale norma, il “progetto” non deve necessariamente essere stato implementato, essendo invece sufficiente che esso sia stato realizzato e candidato alla premiazione, su iniziativa dei dirigenti, dipendenti o gruppi di lavoro. Ed infatti, una volta presentata la candidatura</w:t>
      </w:r>
      <w:r>
        <w:rPr>
          <w:rFonts w:ascii="Bookman Old Style" w:hAnsi="Bookman Old Style"/>
          <w:sz w:val="24"/>
          <w:szCs w:val="24"/>
        </w:rPr>
        <w:t>,</w:t>
      </w:r>
      <w:r w:rsidRPr="00A04BBE">
        <w:rPr>
          <w:rFonts w:ascii="Bookman Old Style" w:hAnsi="Bookman Old Style"/>
          <w:sz w:val="24"/>
          <w:szCs w:val="24"/>
        </w:rPr>
        <w:t xml:space="preserve"> l’Organismo indipendente di valutazione, di cui al comma 3, non sarà tenuto a concedere il premio sulla base di un effettivo aumento della produttività, dovendo invece solo stabilire se il progetto sia “</w:t>
      </w:r>
      <w:r w:rsidRPr="00A04BBE">
        <w:rPr>
          <w:rFonts w:ascii="Bookman Old Style" w:hAnsi="Bookman Old Style"/>
          <w:i/>
          <w:sz w:val="24"/>
          <w:szCs w:val="24"/>
          <w:u w:val="single"/>
        </w:rPr>
        <w:t>in grado</w:t>
      </w:r>
      <w:r w:rsidRPr="00A04BBE">
        <w:rPr>
          <w:rFonts w:ascii="Bookman Old Style" w:hAnsi="Bookman Old Style"/>
          <w:i/>
          <w:sz w:val="24"/>
          <w:szCs w:val="24"/>
        </w:rPr>
        <w:t xml:space="preserve"> di produrre un significativo cambiamento dei servizi offerti o dei processi interni di lavoro</w:t>
      </w:r>
      <w:r w:rsidRPr="00A04BBE">
        <w:rPr>
          <w:rFonts w:ascii="Bookman Old Style" w:hAnsi="Bookman Old Style"/>
          <w:sz w:val="24"/>
          <w:szCs w:val="24"/>
        </w:rPr>
        <w:t xml:space="preserve">”. </w:t>
      </w:r>
    </w:p>
    <w:p w:rsidR="00A50774" w:rsidRPr="00A04BBE" w:rsidRDefault="00A50774" w:rsidP="00F511AA">
      <w:pPr>
        <w:spacing w:after="120" w:line="360" w:lineRule="auto"/>
        <w:ind w:firstLine="708"/>
        <w:jc w:val="both"/>
        <w:rPr>
          <w:rFonts w:ascii="Bookman Old Style" w:hAnsi="Bookman Old Style"/>
          <w:sz w:val="24"/>
          <w:szCs w:val="24"/>
        </w:rPr>
      </w:pPr>
      <w:r w:rsidRPr="00A04BBE">
        <w:rPr>
          <w:rFonts w:ascii="Bookman Old Style" w:hAnsi="Bookman Old Style"/>
          <w:sz w:val="24"/>
          <w:szCs w:val="24"/>
        </w:rPr>
        <w:t xml:space="preserve">Senza dire che, l’IMA si distingue ulteriormente, tanto dai bonus per le eccellenze, quanto dai premi per l’innovazione, anche per il suo differente meccanismo di finanziamento. Invero, ai sensi dell’art. 41, comma 4, del </w:t>
      </w:r>
      <w:proofErr w:type="spellStart"/>
      <w:r w:rsidRPr="00A04BBE">
        <w:rPr>
          <w:rFonts w:ascii="Bookman Old Style" w:hAnsi="Bookman Old Style"/>
          <w:sz w:val="24"/>
          <w:szCs w:val="24"/>
        </w:rPr>
        <w:t>C.c.n.l.</w:t>
      </w:r>
      <w:proofErr w:type="spellEnd"/>
      <w:r w:rsidRPr="00A04BBE">
        <w:rPr>
          <w:rFonts w:ascii="Bookman Old Style" w:hAnsi="Bookman Old Style"/>
          <w:sz w:val="24"/>
          <w:szCs w:val="24"/>
        </w:rPr>
        <w:t xml:space="preserve"> del 27 gennaio 2005, gli oneri derivanti dalla corresponsione dell’IMA gravano interamente “</w:t>
      </w:r>
      <w:r w:rsidRPr="00A04BBE">
        <w:rPr>
          <w:rFonts w:ascii="Bookman Old Style" w:hAnsi="Bookman Old Style"/>
          <w:i/>
          <w:sz w:val="24"/>
          <w:szCs w:val="24"/>
        </w:rPr>
        <w:t>sulle risorse del Fondo per le progressioni economiche e per la produttività collettiva ed individuale di cui all’art. 67 del CCNL 9/8/2000</w:t>
      </w:r>
      <w:r w:rsidRPr="00A04BBE">
        <w:rPr>
          <w:rFonts w:ascii="Bookman Old Style" w:hAnsi="Bookman Old Style"/>
          <w:sz w:val="24"/>
          <w:szCs w:val="24"/>
        </w:rPr>
        <w:t>”, mentre gli incentivi per le eccellenze e per le innovazioni “</w:t>
      </w:r>
      <w:r w:rsidRPr="00A04BBE">
        <w:rPr>
          <w:rFonts w:ascii="Bookman Old Style" w:hAnsi="Bookman Old Style"/>
          <w:i/>
          <w:sz w:val="24"/>
          <w:szCs w:val="24"/>
        </w:rPr>
        <w:t>sono riconosciuti a valere sulle risorse disponibili per la contrattazione collettiva integrativa</w:t>
      </w:r>
      <w:r w:rsidRPr="00A04BBE">
        <w:rPr>
          <w:rFonts w:ascii="Bookman Old Style" w:hAnsi="Bookman Old Style"/>
          <w:sz w:val="24"/>
          <w:szCs w:val="24"/>
        </w:rPr>
        <w:t xml:space="preserve">”, come espressamente previsto dall’art. 20, comma 2, del D.lgs. n. 150/2009.  </w:t>
      </w:r>
    </w:p>
    <w:p w:rsidR="00A50774" w:rsidRPr="00A04BBE" w:rsidRDefault="00A50774" w:rsidP="00F511AA">
      <w:pPr>
        <w:spacing w:after="120" w:line="360" w:lineRule="auto"/>
        <w:ind w:firstLine="708"/>
        <w:jc w:val="both"/>
        <w:rPr>
          <w:rFonts w:ascii="Bookman Old Style" w:hAnsi="Bookman Old Style"/>
          <w:sz w:val="24"/>
          <w:szCs w:val="24"/>
        </w:rPr>
      </w:pPr>
      <w:r w:rsidRPr="00A04BBE">
        <w:rPr>
          <w:rFonts w:ascii="Bookman Old Style" w:hAnsi="Bookman Old Style"/>
          <w:sz w:val="24"/>
          <w:szCs w:val="24"/>
        </w:rPr>
        <w:t>Sicché, anche in questa ipotesi subordinata, in cui si considerasse l’IMA come retribuzione accessoria, ai sensi dell’art. 40, comma 3-bis, del D.lgs. n. 165/2001, comunque non sarebbe necessario attivare, per la sua corresponsione, il complesso meccanismo di valutazione disciplinato dagli artt. 19 e ss. del Titolo III del D.lgs. n. 150/2009.</w:t>
      </w:r>
    </w:p>
    <w:p w:rsidR="00A50774" w:rsidRPr="00A04BBE" w:rsidRDefault="00A50774" w:rsidP="00F511AA">
      <w:pPr>
        <w:spacing w:after="120" w:line="360" w:lineRule="auto"/>
        <w:ind w:firstLine="708"/>
        <w:jc w:val="both"/>
        <w:rPr>
          <w:rFonts w:ascii="Bookman Old Style" w:hAnsi="Bookman Old Style"/>
          <w:sz w:val="24"/>
          <w:szCs w:val="24"/>
        </w:rPr>
      </w:pPr>
      <w:r w:rsidRPr="00A04BBE">
        <w:rPr>
          <w:rFonts w:ascii="Bookman Old Style" w:hAnsi="Bookman Old Style"/>
          <w:sz w:val="24"/>
          <w:szCs w:val="24"/>
        </w:rPr>
        <w:t xml:space="preserve">Risulta così confermata la piena legittimità dell’art. 5 del contratto integrativo, nella parte in cui non prevede alcuna valutazione preventiva sulle modalità di corresponsione dell’IMA. </w:t>
      </w:r>
    </w:p>
    <w:p w:rsidR="00A50774" w:rsidRPr="00A04BBE" w:rsidRDefault="00A50774" w:rsidP="00F511AA">
      <w:pPr>
        <w:spacing w:after="120" w:line="360" w:lineRule="auto"/>
        <w:jc w:val="center"/>
        <w:rPr>
          <w:rFonts w:ascii="Bookman Old Style" w:hAnsi="Bookman Old Style"/>
          <w:sz w:val="24"/>
          <w:szCs w:val="24"/>
        </w:rPr>
      </w:pPr>
      <w:proofErr w:type="spellStart"/>
      <w:r w:rsidRPr="00A04BBE">
        <w:rPr>
          <w:rFonts w:ascii="Bookman Old Style" w:hAnsi="Bookman Old Style"/>
          <w:sz w:val="24"/>
          <w:szCs w:val="24"/>
        </w:rPr>
        <w:t>oooOooo</w:t>
      </w:r>
      <w:proofErr w:type="spellEnd"/>
    </w:p>
    <w:p w:rsidR="00A50774" w:rsidRPr="00A04BBE" w:rsidRDefault="00A50774" w:rsidP="00F511AA">
      <w:pPr>
        <w:spacing w:after="120" w:line="360" w:lineRule="auto"/>
        <w:jc w:val="both"/>
        <w:rPr>
          <w:rFonts w:ascii="Bookman Old Style" w:hAnsi="Bookman Old Style"/>
          <w:sz w:val="24"/>
          <w:szCs w:val="24"/>
        </w:rPr>
      </w:pPr>
      <w:r w:rsidRPr="00A04BBE">
        <w:rPr>
          <w:rFonts w:ascii="Bookman Old Style" w:hAnsi="Bookman Old Style"/>
          <w:sz w:val="24"/>
          <w:szCs w:val="24"/>
        </w:rPr>
        <w:tab/>
      </w:r>
      <w:r w:rsidRPr="00A04BBE">
        <w:rPr>
          <w:rFonts w:ascii="Bookman Old Style" w:hAnsi="Bookman Old Style"/>
          <w:b/>
          <w:sz w:val="24"/>
          <w:szCs w:val="24"/>
        </w:rPr>
        <w:t>3)</w:t>
      </w:r>
      <w:r w:rsidRPr="00A04BBE">
        <w:rPr>
          <w:rFonts w:ascii="Bookman Old Style" w:hAnsi="Bookman Old Style"/>
          <w:sz w:val="24"/>
          <w:szCs w:val="24"/>
        </w:rPr>
        <w:t xml:space="preserve"> In estremo subordine, nella </w:t>
      </w:r>
      <w:r>
        <w:rPr>
          <w:rFonts w:ascii="Bookman Old Style" w:hAnsi="Bookman Old Style"/>
          <w:sz w:val="24"/>
          <w:szCs w:val="24"/>
        </w:rPr>
        <w:t>ulteriore non condivisibile</w:t>
      </w:r>
      <w:r w:rsidRPr="00A04BBE">
        <w:rPr>
          <w:rFonts w:ascii="Bookman Old Style" w:hAnsi="Bookman Old Style"/>
          <w:sz w:val="24"/>
          <w:szCs w:val="24"/>
        </w:rPr>
        <w:t xml:space="preserve"> ipotesi in cui si ritenesse che l’IMA integri uno degli strumenti premiali di cui all’art. 20 del D.lgs. n. 150/2009, sarebbe comunque legittima la previsione di cui all’art. 5 del contratto integrativo che non richiede, ai fini della corresponsione dell’indennità medesima, alcuna valutazione preventiva.</w:t>
      </w:r>
    </w:p>
    <w:p w:rsidR="00A50774" w:rsidRPr="00A04BBE" w:rsidRDefault="00A50774" w:rsidP="00F511AA">
      <w:pPr>
        <w:spacing w:after="120" w:line="360" w:lineRule="auto"/>
        <w:jc w:val="both"/>
        <w:rPr>
          <w:rFonts w:ascii="Bookman Old Style" w:hAnsi="Bookman Old Style"/>
          <w:sz w:val="24"/>
          <w:szCs w:val="24"/>
        </w:rPr>
      </w:pPr>
      <w:r w:rsidRPr="00A04BBE">
        <w:rPr>
          <w:rFonts w:ascii="Bookman Old Style" w:hAnsi="Bookman Old Style"/>
          <w:sz w:val="24"/>
          <w:szCs w:val="24"/>
        </w:rPr>
        <w:tab/>
        <w:t xml:space="preserve">Invero, la suddetta </w:t>
      </w:r>
      <w:r>
        <w:rPr>
          <w:rFonts w:ascii="Bookman Old Style" w:hAnsi="Bookman Old Style"/>
          <w:sz w:val="24"/>
          <w:szCs w:val="24"/>
        </w:rPr>
        <w:t>clausola dell’accordo integrativo</w:t>
      </w:r>
      <w:r w:rsidRPr="00A04BBE">
        <w:rPr>
          <w:rFonts w:ascii="Bookman Old Style" w:hAnsi="Bookman Old Style"/>
          <w:sz w:val="24"/>
          <w:szCs w:val="24"/>
        </w:rPr>
        <w:t xml:space="preserve"> non poteva fare altro che conformarsi alla disciplina dell’IMA già contenuta nel </w:t>
      </w:r>
      <w:proofErr w:type="spellStart"/>
      <w:r w:rsidRPr="00A04BBE">
        <w:rPr>
          <w:rFonts w:ascii="Bookman Old Style" w:hAnsi="Bookman Old Style"/>
          <w:sz w:val="24"/>
          <w:szCs w:val="24"/>
        </w:rPr>
        <w:t>C.c.n.l.</w:t>
      </w:r>
      <w:proofErr w:type="spellEnd"/>
      <w:r w:rsidRPr="00A04BBE">
        <w:rPr>
          <w:rFonts w:ascii="Bookman Old Style" w:hAnsi="Bookman Old Style"/>
          <w:sz w:val="24"/>
          <w:szCs w:val="24"/>
        </w:rPr>
        <w:t xml:space="preserve"> del 27 gennaio 2005, e poi recepita anche dal </w:t>
      </w:r>
      <w:proofErr w:type="spellStart"/>
      <w:r w:rsidRPr="00A04BBE">
        <w:rPr>
          <w:rFonts w:ascii="Bookman Old Style" w:hAnsi="Bookman Old Style"/>
          <w:sz w:val="24"/>
          <w:szCs w:val="24"/>
        </w:rPr>
        <w:t>C.c.n.l.</w:t>
      </w:r>
      <w:proofErr w:type="spellEnd"/>
      <w:r w:rsidRPr="00A04BBE">
        <w:rPr>
          <w:rFonts w:ascii="Bookman Old Style" w:hAnsi="Bookman Old Style"/>
          <w:sz w:val="24"/>
          <w:szCs w:val="24"/>
        </w:rPr>
        <w:t xml:space="preserve"> del 6 ottobre 2008, secondo cui l’IMA non è soggetta ad alcuna valutazione selettiva, trattandosi di indennità che, si ripete, “</w:t>
      </w:r>
      <w:r w:rsidRPr="00A04BBE">
        <w:rPr>
          <w:rFonts w:ascii="Bookman Old Style" w:hAnsi="Bookman Old Style"/>
          <w:i/>
          <w:sz w:val="24"/>
          <w:szCs w:val="24"/>
        </w:rPr>
        <w:t>sostituisce le indennità già corrisposte con carattere di generalità</w:t>
      </w:r>
      <w:r w:rsidRPr="00A04BBE">
        <w:rPr>
          <w:rFonts w:ascii="Bookman Old Style" w:hAnsi="Bookman Old Style"/>
          <w:sz w:val="24"/>
          <w:szCs w:val="24"/>
        </w:rPr>
        <w:t>”.</w:t>
      </w:r>
    </w:p>
    <w:p w:rsidR="00A50774" w:rsidRPr="00A04BBE" w:rsidRDefault="00A50774" w:rsidP="00F511AA">
      <w:pPr>
        <w:spacing w:after="120" w:line="360" w:lineRule="auto"/>
        <w:ind w:firstLine="708"/>
        <w:jc w:val="both"/>
        <w:rPr>
          <w:rFonts w:ascii="Bookman Old Style" w:hAnsi="Bookman Old Style"/>
          <w:sz w:val="24"/>
          <w:szCs w:val="24"/>
        </w:rPr>
      </w:pPr>
      <w:r>
        <w:rPr>
          <w:rFonts w:ascii="Bookman Old Style" w:hAnsi="Bookman Old Style"/>
          <w:sz w:val="24"/>
          <w:szCs w:val="24"/>
        </w:rPr>
        <w:t>Questa gerarchia delle fonti è sancita anche dall’</w:t>
      </w:r>
      <w:r w:rsidRPr="00A04BBE">
        <w:rPr>
          <w:rFonts w:ascii="Bookman Old Style" w:hAnsi="Bookman Old Style"/>
          <w:sz w:val="24"/>
          <w:szCs w:val="24"/>
        </w:rPr>
        <w:t>art. 40 del D.lgs. n. 165/2001, norma cardine in materia di trattamento economico accessorio, il quale stabilisce espressamente che la contrattazione integrativa “</w:t>
      </w:r>
      <w:r w:rsidRPr="00A04BBE">
        <w:rPr>
          <w:rFonts w:ascii="Bookman Old Style" w:hAnsi="Bookman Old Style"/>
          <w:i/>
          <w:sz w:val="24"/>
          <w:szCs w:val="24"/>
        </w:rPr>
        <w:t>si svolge sulle materie, con i vincoli e nei limiti stabiliti dai contratti collettivi nazionali</w:t>
      </w:r>
      <w:r w:rsidRPr="00A04BBE">
        <w:rPr>
          <w:rFonts w:ascii="Bookman Old Style" w:hAnsi="Bookman Old Style"/>
          <w:sz w:val="24"/>
          <w:szCs w:val="24"/>
        </w:rPr>
        <w:t>”.</w:t>
      </w:r>
    </w:p>
    <w:p w:rsidR="00A50774" w:rsidRPr="00A04BBE" w:rsidRDefault="00A50774" w:rsidP="00F511AA">
      <w:pPr>
        <w:spacing w:after="120" w:line="360" w:lineRule="auto"/>
        <w:ind w:firstLine="708"/>
        <w:jc w:val="both"/>
        <w:rPr>
          <w:rFonts w:ascii="Bookman Old Style" w:hAnsi="Bookman Old Style"/>
          <w:sz w:val="24"/>
          <w:szCs w:val="24"/>
        </w:rPr>
      </w:pPr>
      <w:r w:rsidRPr="00A04BBE">
        <w:rPr>
          <w:rFonts w:ascii="Bookman Old Style" w:hAnsi="Bookman Old Style"/>
          <w:sz w:val="24"/>
          <w:szCs w:val="24"/>
        </w:rPr>
        <w:t xml:space="preserve">Ovviamente, le norme di fonte collettiva nazionale che escludono la valutazione per il pagamento dell’IMA sono pacificamente legittime, in quanto ad esse non è applicabile il D.lgs. n. 150/2009, che è entrato in vigore successivamente al contratto collettivo del 6 ottobre 2008, tutt’ora vigente, stante il blocco del rinnovo del </w:t>
      </w:r>
      <w:proofErr w:type="spellStart"/>
      <w:r w:rsidRPr="00A04BBE">
        <w:rPr>
          <w:rFonts w:ascii="Bookman Old Style" w:hAnsi="Bookman Old Style"/>
          <w:sz w:val="24"/>
          <w:szCs w:val="24"/>
        </w:rPr>
        <w:t>C.c.n.l.</w:t>
      </w:r>
      <w:proofErr w:type="spellEnd"/>
      <w:r w:rsidRPr="00A04BBE">
        <w:rPr>
          <w:rFonts w:ascii="Bookman Old Style" w:hAnsi="Bookman Old Style"/>
          <w:sz w:val="24"/>
          <w:szCs w:val="24"/>
        </w:rPr>
        <w:t xml:space="preserve"> fino al 31 dicembre 2014. Al riguardo, è chiarissimo il principio più volte ribadito dal legislatore secondo cui le disposizioni di cui al Titolo III del D.lgs. n. 150/2009 sono applicabili esclusivamente ai contratti collettivi nazionali stipulati “</w:t>
      </w:r>
      <w:r w:rsidRPr="00A04BBE">
        <w:rPr>
          <w:rFonts w:ascii="Bookman Old Style" w:hAnsi="Bookman Old Style"/>
          <w:i/>
          <w:sz w:val="24"/>
          <w:szCs w:val="24"/>
        </w:rPr>
        <w:t>a decorrere dal periodo contrattuale successivo a quello in corso alla data di entrata in vigore del presente decreto</w:t>
      </w:r>
      <w:r w:rsidRPr="00A04BBE">
        <w:rPr>
          <w:rFonts w:ascii="Bookman Old Style" w:hAnsi="Bookman Old Style"/>
          <w:sz w:val="24"/>
          <w:szCs w:val="24"/>
        </w:rPr>
        <w:t>” (cfr. artt. 29 e 65, comma 5, del D.lgs. n. 150/2009). Tale principio è stato inoltre recepito dalla giurisprudenza di merito chiamata a pronunciarsi sul punto (Trib. Trieste, 5 ottobre 2010; Trib. Torino, 21 settembre 2010).</w:t>
      </w:r>
    </w:p>
    <w:p w:rsidR="00A50774" w:rsidRPr="00A04BBE" w:rsidRDefault="00A50774" w:rsidP="00F511AA">
      <w:pPr>
        <w:spacing w:after="120" w:line="360" w:lineRule="auto"/>
        <w:ind w:firstLine="708"/>
        <w:jc w:val="both"/>
        <w:rPr>
          <w:rFonts w:ascii="Bookman Old Style" w:hAnsi="Bookman Old Style"/>
          <w:sz w:val="24"/>
          <w:szCs w:val="24"/>
        </w:rPr>
      </w:pPr>
      <w:r w:rsidRPr="00A04BBE">
        <w:rPr>
          <w:rFonts w:ascii="Bookman Old Style" w:hAnsi="Bookman Old Style"/>
          <w:sz w:val="24"/>
          <w:szCs w:val="24"/>
        </w:rPr>
        <w:t xml:space="preserve">Sicché non sembra ammissibile che la contrattazione decentrata, in violazione, o comunque andando oltre i limiti, della contrattazione collettiva nazionale primaria, </w:t>
      </w:r>
      <w:bookmarkStart w:id="0" w:name="_GoBack"/>
      <w:bookmarkEnd w:id="0"/>
      <w:r w:rsidRPr="00A04BBE">
        <w:rPr>
          <w:rFonts w:ascii="Bookman Old Style" w:hAnsi="Bookman Old Style"/>
          <w:sz w:val="24"/>
          <w:szCs w:val="24"/>
        </w:rPr>
        <w:t xml:space="preserve">possa “auto attribuirsi” una competenza che non le spetta, quale quella di istituire per l’IMA dei meccanismi di valutazione analoghi a quelli indicati nel Titolo III del D.lgs. n. 150/2009. </w:t>
      </w:r>
    </w:p>
    <w:p w:rsidR="00A50774" w:rsidRPr="00A04BBE" w:rsidRDefault="00A50774" w:rsidP="00F511AA">
      <w:pPr>
        <w:spacing w:after="120" w:line="360" w:lineRule="auto"/>
        <w:ind w:firstLine="708"/>
        <w:jc w:val="both"/>
        <w:rPr>
          <w:rFonts w:ascii="Bookman Old Style" w:hAnsi="Bookman Old Style"/>
          <w:sz w:val="24"/>
          <w:szCs w:val="24"/>
        </w:rPr>
      </w:pPr>
      <w:r w:rsidRPr="00A04BBE">
        <w:rPr>
          <w:rFonts w:ascii="Bookman Old Style" w:hAnsi="Bookman Old Style"/>
          <w:sz w:val="24"/>
          <w:szCs w:val="24"/>
        </w:rPr>
        <w:t xml:space="preserve">Senza dire che una tale “spontanea” iniziativa </w:t>
      </w:r>
      <w:r w:rsidRPr="0015222A">
        <w:rPr>
          <w:rFonts w:ascii="Bookman Old Style" w:hAnsi="Bookman Old Style"/>
          <w:sz w:val="24"/>
          <w:szCs w:val="24"/>
        </w:rPr>
        <w:t>potrebbe esporre l’amministrazione, nonché i suoi organi di revisione contabile, al rischio di un’azione di responsabilità per danno erariale</w:t>
      </w:r>
      <w:r w:rsidRPr="00A04BBE">
        <w:rPr>
          <w:rFonts w:ascii="Bookman Old Style" w:hAnsi="Bookman Old Style"/>
          <w:sz w:val="24"/>
          <w:szCs w:val="24"/>
        </w:rPr>
        <w:t xml:space="preserve">, poiché costringerebbe l’Università ad implementare per l’IMA il meccanismo di valutazione previsto dall’art. 19 del D.lgs. n. 150/2009, con i conseguenti notevoli costi legati alla nomina di un “Organismo indipendente”, nonché all’attivazione di procedure selettive e alla formazione di apposite graduatorie distribuite su tre diversi livelli di performance, da sottoporre, poi, al Dipartimento della funzione pubblica affinché verifichi il rispetto dei </w:t>
      </w:r>
      <w:proofErr w:type="spellStart"/>
      <w:r w:rsidRPr="00A04BBE">
        <w:rPr>
          <w:rFonts w:ascii="Bookman Old Style" w:hAnsi="Bookman Old Style"/>
          <w:sz w:val="24"/>
          <w:szCs w:val="24"/>
        </w:rPr>
        <w:t>princípi</w:t>
      </w:r>
      <w:proofErr w:type="spellEnd"/>
      <w:r w:rsidRPr="00A04BBE">
        <w:rPr>
          <w:rFonts w:ascii="Bookman Old Style" w:hAnsi="Bookman Old Style"/>
          <w:sz w:val="24"/>
          <w:szCs w:val="24"/>
        </w:rPr>
        <w:t xml:space="preserve"> di selettività e meritocrazia.</w:t>
      </w:r>
    </w:p>
    <w:p w:rsidR="00A50774" w:rsidRPr="00A04BBE" w:rsidRDefault="00A50774" w:rsidP="00F511AA">
      <w:pPr>
        <w:spacing w:after="120" w:line="360" w:lineRule="auto"/>
        <w:ind w:firstLine="708"/>
        <w:jc w:val="both"/>
        <w:rPr>
          <w:rFonts w:ascii="Bookman Old Style" w:hAnsi="Bookman Old Style"/>
          <w:sz w:val="24"/>
          <w:szCs w:val="24"/>
        </w:rPr>
      </w:pPr>
      <w:r w:rsidRPr="00A04BBE">
        <w:rPr>
          <w:rFonts w:ascii="Bookman Old Style" w:hAnsi="Bookman Old Style"/>
          <w:sz w:val="24"/>
          <w:szCs w:val="24"/>
        </w:rPr>
        <w:t>In tal senso si è espressa anche la giurisprudenza contabile che, in casi del tutto assimilabili al nostro, ha ritenuto danno erariale l’aver sottoscritto “</w:t>
      </w:r>
      <w:r w:rsidRPr="00A04BBE">
        <w:rPr>
          <w:rFonts w:ascii="Bookman Old Style" w:hAnsi="Bookman Old Style"/>
          <w:i/>
          <w:sz w:val="24"/>
          <w:szCs w:val="24"/>
        </w:rPr>
        <w:t>un contratto integrativo, relativo alla dotazione e alla ripartizione del fondo per il salario accessorio del personale, contenente clausole contrastanti con il contratto collettivo nazionale di comparto</w:t>
      </w:r>
      <w:r w:rsidRPr="00A04BBE">
        <w:rPr>
          <w:rFonts w:ascii="Bookman Old Style" w:hAnsi="Bookman Old Style"/>
          <w:sz w:val="24"/>
          <w:szCs w:val="24"/>
        </w:rPr>
        <w:t xml:space="preserve">” (Corte dei Conti, Trentino Alto Adige, 12 febbraio 2007, n. 6; Corte dei Conti, Lombardia, 10 marzo 2006, n. 172).  </w:t>
      </w:r>
    </w:p>
    <w:p w:rsidR="00A50774" w:rsidRPr="00A04BBE" w:rsidRDefault="00A50774" w:rsidP="00F511AA">
      <w:pPr>
        <w:spacing w:after="120" w:line="360" w:lineRule="auto"/>
        <w:ind w:firstLine="708"/>
        <w:jc w:val="both"/>
        <w:rPr>
          <w:rFonts w:ascii="Bookman Old Style" w:hAnsi="Bookman Old Style"/>
          <w:sz w:val="24"/>
          <w:szCs w:val="24"/>
        </w:rPr>
      </w:pPr>
      <w:r w:rsidRPr="00A04BBE">
        <w:rPr>
          <w:rFonts w:ascii="Bookman Old Style" w:hAnsi="Bookman Old Style"/>
          <w:sz w:val="24"/>
          <w:szCs w:val="24"/>
        </w:rPr>
        <w:t xml:space="preserve">D’altronde è noto che, quando il legislatore ha voluto consentire alla contrattazione collettiva decentrata di derogare </w:t>
      </w:r>
      <w:r w:rsidRPr="00A04BBE">
        <w:rPr>
          <w:rFonts w:ascii="Bookman Old Style" w:hAnsi="Bookman Old Style"/>
          <w:i/>
          <w:sz w:val="24"/>
          <w:szCs w:val="24"/>
        </w:rPr>
        <w:t xml:space="preserve">in </w:t>
      </w:r>
      <w:proofErr w:type="spellStart"/>
      <w:r w:rsidRPr="00A04BBE">
        <w:rPr>
          <w:rFonts w:ascii="Bookman Old Style" w:hAnsi="Bookman Old Style"/>
          <w:i/>
          <w:sz w:val="24"/>
          <w:szCs w:val="24"/>
        </w:rPr>
        <w:t>peius</w:t>
      </w:r>
      <w:proofErr w:type="spellEnd"/>
      <w:r w:rsidRPr="00A04BBE">
        <w:rPr>
          <w:rFonts w:ascii="Bookman Old Style" w:hAnsi="Bookman Old Style"/>
          <w:sz w:val="24"/>
          <w:szCs w:val="24"/>
        </w:rPr>
        <w:t xml:space="preserve"> alla contrattazione collettiva nazionale, lo ha previsto espressamente (cfr. ad esempio, art. 8 D.L. n. 138/2011, convertito in Legge n. 148/2011).</w:t>
      </w:r>
    </w:p>
    <w:p w:rsidR="00A50774" w:rsidRPr="00A04BBE" w:rsidRDefault="00A50774" w:rsidP="00F511AA">
      <w:pPr>
        <w:spacing w:after="120" w:line="360" w:lineRule="auto"/>
        <w:ind w:firstLine="708"/>
        <w:jc w:val="both"/>
        <w:rPr>
          <w:rFonts w:ascii="Bookman Old Style" w:hAnsi="Bookman Old Style"/>
          <w:sz w:val="24"/>
          <w:szCs w:val="24"/>
        </w:rPr>
      </w:pPr>
      <w:r w:rsidRPr="00A04BBE">
        <w:rPr>
          <w:rFonts w:ascii="Bookman Old Style" w:hAnsi="Bookman Old Style"/>
          <w:sz w:val="24"/>
          <w:szCs w:val="24"/>
        </w:rPr>
        <w:t>Ed infatti gli eventuali scostamenti dalla contrattazione collettiva di livello nazionale, ad opera della contrattazione integrativa, sono stati esclusi dalla giurisprudenza di merito, che ha rilevato come sarebbe “</w:t>
      </w:r>
      <w:r w:rsidRPr="00A04BBE">
        <w:rPr>
          <w:rFonts w:ascii="Bookman Old Style" w:hAnsi="Bookman Old Style"/>
          <w:i/>
          <w:sz w:val="24"/>
          <w:szCs w:val="24"/>
        </w:rPr>
        <w:t>poco coerente</w:t>
      </w:r>
      <w:r w:rsidRPr="00A04BBE">
        <w:rPr>
          <w:rFonts w:ascii="Bookman Old Style" w:hAnsi="Bookman Old Style"/>
          <w:sz w:val="24"/>
          <w:szCs w:val="24"/>
        </w:rPr>
        <w:t>”, o addirittura “</w:t>
      </w:r>
      <w:r w:rsidRPr="00A04BBE">
        <w:rPr>
          <w:rFonts w:ascii="Bookman Old Style" w:hAnsi="Bookman Old Style"/>
          <w:i/>
          <w:sz w:val="24"/>
          <w:szCs w:val="24"/>
        </w:rPr>
        <w:t>non avrebbe alcun senso</w:t>
      </w:r>
      <w:r w:rsidRPr="00A04BBE">
        <w:rPr>
          <w:rFonts w:ascii="Bookman Old Style" w:hAnsi="Bookman Old Style"/>
          <w:sz w:val="24"/>
          <w:szCs w:val="24"/>
        </w:rPr>
        <w:t>”, che “</w:t>
      </w:r>
      <w:r w:rsidRPr="00A04BBE">
        <w:rPr>
          <w:rFonts w:ascii="Bookman Old Style" w:hAnsi="Bookman Old Style"/>
          <w:i/>
          <w:sz w:val="24"/>
          <w:szCs w:val="24"/>
        </w:rPr>
        <w:t xml:space="preserve">il contratto gerarchicamente </w:t>
      </w:r>
      <w:proofErr w:type="spellStart"/>
      <w:r w:rsidRPr="00A04BBE">
        <w:rPr>
          <w:rFonts w:ascii="Bookman Old Style" w:hAnsi="Bookman Old Style"/>
          <w:i/>
          <w:sz w:val="24"/>
          <w:szCs w:val="24"/>
        </w:rPr>
        <w:t>subordinato…</w:t>
      </w:r>
      <w:proofErr w:type="spellEnd"/>
      <w:r w:rsidRPr="00A04BBE">
        <w:rPr>
          <w:rFonts w:ascii="Bookman Old Style" w:hAnsi="Bookman Old Style"/>
          <w:i/>
          <w:sz w:val="24"/>
          <w:szCs w:val="24"/>
        </w:rPr>
        <w:t xml:space="preserve"> deve </w:t>
      </w:r>
      <w:proofErr w:type="spellStart"/>
      <w:r w:rsidRPr="00A04BBE">
        <w:rPr>
          <w:rFonts w:ascii="Bookman Old Style" w:hAnsi="Bookman Old Style"/>
          <w:i/>
          <w:sz w:val="24"/>
          <w:szCs w:val="24"/>
        </w:rPr>
        <w:t>operare…</w:t>
      </w:r>
      <w:proofErr w:type="spellEnd"/>
      <w:r w:rsidRPr="00A04BBE">
        <w:rPr>
          <w:rFonts w:ascii="Bookman Old Style" w:hAnsi="Bookman Old Style"/>
          <w:i/>
          <w:sz w:val="24"/>
          <w:szCs w:val="24"/>
        </w:rPr>
        <w:t xml:space="preserve"> in contrasto con la contrattazione di livello superiore</w:t>
      </w:r>
      <w:r w:rsidRPr="00A04BBE">
        <w:rPr>
          <w:rFonts w:ascii="Bookman Old Style" w:hAnsi="Bookman Old Style"/>
          <w:sz w:val="24"/>
          <w:szCs w:val="24"/>
        </w:rPr>
        <w:t>” (Trib. Velletri, decr., 27 settembre 2011).</w:t>
      </w:r>
    </w:p>
    <w:p w:rsidR="00A50774" w:rsidRPr="00A04BBE" w:rsidRDefault="00A50774" w:rsidP="00F511AA">
      <w:pPr>
        <w:spacing w:after="240" w:line="360" w:lineRule="auto"/>
        <w:ind w:firstLine="709"/>
        <w:jc w:val="both"/>
        <w:rPr>
          <w:rFonts w:ascii="Bookman Old Style" w:hAnsi="Bookman Old Style"/>
          <w:sz w:val="24"/>
          <w:szCs w:val="24"/>
        </w:rPr>
      </w:pPr>
      <w:r>
        <w:rPr>
          <w:rFonts w:ascii="Bookman Old Style" w:hAnsi="Bookman Old Style"/>
          <w:sz w:val="24"/>
          <w:szCs w:val="24"/>
        </w:rPr>
        <w:t>Non a caso risulta che si sano attenuti</w:t>
      </w:r>
      <w:r w:rsidRPr="00A04BBE">
        <w:rPr>
          <w:rFonts w:ascii="Bookman Old Style" w:hAnsi="Bookman Old Style"/>
          <w:sz w:val="24"/>
          <w:szCs w:val="24"/>
        </w:rPr>
        <w:t xml:space="preserve"> alla suddetta </w:t>
      </w:r>
      <w:r>
        <w:rPr>
          <w:rFonts w:ascii="Bookman Old Style" w:hAnsi="Bookman Old Style"/>
          <w:sz w:val="24"/>
          <w:szCs w:val="24"/>
        </w:rPr>
        <w:t xml:space="preserve">interpretazione, che esclude eventuali </w:t>
      </w:r>
      <w:r w:rsidRPr="00A04BBE">
        <w:rPr>
          <w:rFonts w:ascii="Bookman Old Style" w:hAnsi="Bookman Old Style"/>
          <w:sz w:val="24"/>
          <w:szCs w:val="24"/>
        </w:rPr>
        <w:t>responsabilità per danno erariale, tutti gli Atenei della Regione Lazio, nonché la stragrande maggioranza degli Atenei nazionali.</w:t>
      </w:r>
    </w:p>
    <w:p w:rsidR="00A50774" w:rsidRPr="00A04BBE" w:rsidRDefault="00A50774" w:rsidP="00F511AA">
      <w:pPr>
        <w:spacing w:after="120" w:line="360" w:lineRule="auto"/>
        <w:ind w:firstLine="284"/>
        <w:jc w:val="both"/>
        <w:rPr>
          <w:rFonts w:ascii="Bookman Old Style" w:hAnsi="Bookman Old Style"/>
          <w:sz w:val="24"/>
          <w:szCs w:val="24"/>
        </w:rPr>
      </w:pPr>
      <w:r>
        <w:rPr>
          <w:rFonts w:ascii="Bookman Old Style" w:hAnsi="Bookman Old Style"/>
          <w:sz w:val="24"/>
          <w:szCs w:val="24"/>
        </w:rPr>
        <w:t>Roma</w:t>
      </w:r>
      <w:r w:rsidRPr="00A04BBE">
        <w:rPr>
          <w:rFonts w:ascii="Bookman Old Style" w:hAnsi="Bookman Old Style"/>
          <w:sz w:val="24"/>
          <w:szCs w:val="24"/>
        </w:rPr>
        <w:t>, 24 aprile 2014</w:t>
      </w:r>
    </w:p>
    <w:p w:rsidR="00A50774" w:rsidRPr="00A04BBE" w:rsidRDefault="00A50774" w:rsidP="00F511AA">
      <w:pPr>
        <w:spacing w:after="120" w:line="360" w:lineRule="auto"/>
        <w:ind w:firstLine="708"/>
        <w:jc w:val="right"/>
        <w:rPr>
          <w:rFonts w:ascii="Bookman Old Style" w:hAnsi="Bookman Old Style"/>
          <w:sz w:val="24"/>
          <w:szCs w:val="24"/>
        </w:rPr>
      </w:pPr>
      <w:r w:rsidRPr="00A04BBE">
        <w:rPr>
          <w:rFonts w:ascii="Bookman Old Style" w:hAnsi="Bookman Old Style"/>
          <w:sz w:val="24"/>
          <w:szCs w:val="24"/>
        </w:rPr>
        <w:t>Prof. Avv. Carlo Pisani</w:t>
      </w:r>
    </w:p>
    <w:p w:rsidR="00A50774" w:rsidRPr="00A04BBE" w:rsidRDefault="00A50774" w:rsidP="00F511AA">
      <w:pPr>
        <w:spacing w:after="120" w:line="360" w:lineRule="auto"/>
        <w:jc w:val="both"/>
        <w:rPr>
          <w:rFonts w:ascii="Bookman Old Style" w:hAnsi="Bookman Old Style"/>
          <w:sz w:val="24"/>
          <w:szCs w:val="24"/>
        </w:rPr>
      </w:pPr>
    </w:p>
    <w:sectPr w:rsidR="00A50774" w:rsidRPr="00A04BBE" w:rsidSect="00A04BBE">
      <w:footerReference w:type="default" r:id="rId6"/>
      <w:headerReference w:type="first" r:id="rId7"/>
      <w:pgSz w:w="11906" w:h="16838"/>
      <w:pgMar w:top="1418" w:right="2835"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BED" w:rsidRDefault="00E92BED" w:rsidP="007A50D2">
      <w:pPr>
        <w:spacing w:after="0" w:line="240" w:lineRule="auto"/>
      </w:pPr>
      <w:r>
        <w:separator/>
      </w:r>
    </w:p>
  </w:endnote>
  <w:endnote w:type="continuationSeparator" w:id="0">
    <w:p w:rsidR="00E92BED" w:rsidRDefault="00E92BED" w:rsidP="007A50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774" w:rsidRDefault="004F3ADC">
    <w:pPr>
      <w:pStyle w:val="Pidipagina"/>
      <w:jc w:val="center"/>
    </w:pPr>
    <w:r>
      <w:fldChar w:fldCharType="begin"/>
    </w:r>
    <w:r w:rsidR="007210D2">
      <w:instrText xml:space="preserve"> PAGE   \* MERGEFORMAT </w:instrText>
    </w:r>
    <w:r>
      <w:fldChar w:fldCharType="separate"/>
    </w:r>
    <w:r w:rsidR="00994119">
      <w:rPr>
        <w:noProof/>
      </w:rPr>
      <w:t>10</w:t>
    </w:r>
    <w:r>
      <w:rPr>
        <w:noProof/>
      </w:rPr>
      <w:fldChar w:fldCharType="end"/>
    </w:r>
  </w:p>
  <w:p w:rsidR="00A50774" w:rsidRDefault="00A5077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BED" w:rsidRDefault="00E92BED" w:rsidP="007A50D2">
      <w:pPr>
        <w:spacing w:after="0" w:line="240" w:lineRule="auto"/>
      </w:pPr>
      <w:r>
        <w:separator/>
      </w:r>
    </w:p>
  </w:footnote>
  <w:footnote w:type="continuationSeparator" w:id="0">
    <w:p w:rsidR="00E92BED" w:rsidRDefault="00E92BED" w:rsidP="007A50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774" w:rsidRPr="004A7BBD" w:rsidRDefault="00A50774" w:rsidP="004A7BBD">
    <w:pPr>
      <w:widowControl w:val="0"/>
      <w:tabs>
        <w:tab w:val="center" w:pos="4819"/>
        <w:tab w:val="right" w:pos="9638"/>
      </w:tabs>
      <w:autoSpaceDE w:val="0"/>
      <w:autoSpaceDN w:val="0"/>
      <w:adjustRightInd w:val="0"/>
      <w:spacing w:after="0" w:line="240" w:lineRule="auto"/>
      <w:jc w:val="center"/>
      <w:outlineLvl w:val="0"/>
      <w:rPr>
        <w:rFonts w:ascii="Times New Roman" w:hAnsi="Times New Roman"/>
        <w:b/>
        <w:spacing w:val="20"/>
        <w:sz w:val="14"/>
        <w:szCs w:val="14"/>
        <w:lang w:eastAsia="it-IT"/>
      </w:rPr>
    </w:pPr>
    <w:r w:rsidRPr="004A7BBD">
      <w:rPr>
        <w:rFonts w:ascii="Times New Roman" w:hAnsi="Times New Roman"/>
        <w:b/>
        <w:spacing w:val="20"/>
        <w:sz w:val="14"/>
        <w:szCs w:val="14"/>
        <w:lang w:eastAsia="it-IT"/>
      </w:rPr>
      <w:t>STUDIO LEGALE</w:t>
    </w:r>
  </w:p>
  <w:p w:rsidR="00A50774" w:rsidRPr="004A7BBD" w:rsidRDefault="00A50774" w:rsidP="004A7BBD">
    <w:pPr>
      <w:widowControl w:val="0"/>
      <w:tabs>
        <w:tab w:val="center" w:pos="4819"/>
        <w:tab w:val="right" w:pos="9638"/>
      </w:tabs>
      <w:autoSpaceDE w:val="0"/>
      <w:autoSpaceDN w:val="0"/>
      <w:adjustRightInd w:val="0"/>
      <w:spacing w:after="0" w:line="240" w:lineRule="auto"/>
      <w:jc w:val="center"/>
      <w:rPr>
        <w:rFonts w:ascii="Times New Roman" w:hAnsi="Times New Roman"/>
        <w:b/>
        <w:spacing w:val="20"/>
        <w:sz w:val="20"/>
        <w:szCs w:val="20"/>
        <w:lang w:eastAsia="it-IT"/>
      </w:rPr>
    </w:pPr>
    <w:r w:rsidRPr="004A7BBD">
      <w:rPr>
        <w:rFonts w:ascii="Times New Roman" w:hAnsi="Times New Roman"/>
        <w:b/>
        <w:smallCaps/>
        <w:spacing w:val="20"/>
        <w:sz w:val="20"/>
        <w:szCs w:val="20"/>
        <w:lang w:eastAsia="it-IT"/>
      </w:rPr>
      <w:t>Prof. Avv.</w:t>
    </w:r>
    <w:r w:rsidRPr="004A7BBD">
      <w:rPr>
        <w:rFonts w:ascii="Times New Roman" w:hAnsi="Times New Roman"/>
        <w:b/>
        <w:spacing w:val="20"/>
        <w:sz w:val="20"/>
        <w:szCs w:val="20"/>
        <w:lang w:eastAsia="it-IT"/>
      </w:rPr>
      <w:t xml:space="preserve"> CARLO PISANI</w:t>
    </w:r>
  </w:p>
  <w:p w:rsidR="00A50774" w:rsidRPr="004A7BBD" w:rsidRDefault="00A50774" w:rsidP="004A7BBD">
    <w:pPr>
      <w:widowControl w:val="0"/>
      <w:tabs>
        <w:tab w:val="center" w:pos="4819"/>
        <w:tab w:val="right" w:pos="9638"/>
      </w:tabs>
      <w:autoSpaceDE w:val="0"/>
      <w:autoSpaceDN w:val="0"/>
      <w:adjustRightInd w:val="0"/>
      <w:spacing w:after="0" w:line="240" w:lineRule="auto"/>
      <w:jc w:val="center"/>
      <w:rPr>
        <w:rFonts w:ascii="Times New Roman" w:hAnsi="Times New Roman"/>
        <w:b/>
        <w:smallCaps/>
        <w:spacing w:val="20"/>
        <w:sz w:val="11"/>
        <w:szCs w:val="24"/>
        <w:lang w:eastAsia="it-IT"/>
      </w:rPr>
    </w:pPr>
    <w:r w:rsidRPr="004A7BBD">
      <w:rPr>
        <w:rFonts w:ascii="Times New Roman" w:hAnsi="Times New Roman"/>
        <w:b/>
        <w:smallCaps/>
        <w:spacing w:val="20"/>
        <w:sz w:val="11"/>
        <w:szCs w:val="24"/>
        <w:lang w:eastAsia="it-IT"/>
      </w:rPr>
      <w:t xml:space="preserve">PROFESSORE ORDINARIO </w:t>
    </w:r>
    <w:proofErr w:type="spellStart"/>
    <w:r w:rsidRPr="004A7BBD">
      <w:rPr>
        <w:rFonts w:ascii="Times New Roman" w:hAnsi="Times New Roman"/>
        <w:b/>
        <w:smallCaps/>
        <w:spacing w:val="20"/>
        <w:sz w:val="11"/>
        <w:szCs w:val="24"/>
        <w:lang w:eastAsia="it-IT"/>
      </w:rPr>
      <w:t>DI</w:t>
    </w:r>
    <w:proofErr w:type="spellEnd"/>
    <w:r w:rsidRPr="004A7BBD">
      <w:rPr>
        <w:rFonts w:ascii="Times New Roman" w:hAnsi="Times New Roman"/>
        <w:b/>
        <w:smallCaps/>
        <w:spacing w:val="20"/>
        <w:sz w:val="11"/>
        <w:szCs w:val="24"/>
        <w:lang w:eastAsia="it-IT"/>
      </w:rPr>
      <w:t xml:space="preserve"> DIRITTO DEL LAVORO</w:t>
    </w:r>
  </w:p>
  <w:p w:rsidR="00A50774" w:rsidRPr="004A7BBD" w:rsidRDefault="00A50774" w:rsidP="004A7BBD">
    <w:pPr>
      <w:widowControl w:val="0"/>
      <w:tabs>
        <w:tab w:val="center" w:pos="4819"/>
        <w:tab w:val="right" w:pos="9638"/>
      </w:tabs>
      <w:autoSpaceDE w:val="0"/>
      <w:autoSpaceDN w:val="0"/>
      <w:adjustRightInd w:val="0"/>
      <w:spacing w:after="0" w:line="240" w:lineRule="auto"/>
      <w:jc w:val="center"/>
      <w:rPr>
        <w:rFonts w:ascii="Times New Roman" w:hAnsi="Times New Roman"/>
        <w:b/>
        <w:smallCaps/>
        <w:spacing w:val="20"/>
        <w:sz w:val="11"/>
        <w:szCs w:val="24"/>
        <w:lang w:eastAsia="it-IT"/>
      </w:rPr>
    </w:pPr>
    <w:r w:rsidRPr="004A7BBD">
      <w:rPr>
        <w:rFonts w:ascii="Times New Roman" w:hAnsi="Times New Roman"/>
        <w:b/>
        <w:smallCaps/>
        <w:spacing w:val="20"/>
        <w:sz w:val="11"/>
        <w:szCs w:val="24"/>
        <w:lang w:eastAsia="it-IT"/>
      </w:rPr>
      <w:t xml:space="preserve">NELL’UNIVERSITA’ </w:t>
    </w:r>
    <w:proofErr w:type="spellStart"/>
    <w:r w:rsidRPr="004A7BBD">
      <w:rPr>
        <w:rFonts w:ascii="Times New Roman" w:hAnsi="Times New Roman"/>
        <w:b/>
        <w:smallCaps/>
        <w:spacing w:val="20"/>
        <w:sz w:val="11"/>
        <w:szCs w:val="24"/>
        <w:lang w:eastAsia="it-IT"/>
      </w:rPr>
      <w:t>DI</w:t>
    </w:r>
    <w:proofErr w:type="spellEnd"/>
    <w:r w:rsidRPr="004A7BBD">
      <w:rPr>
        <w:rFonts w:ascii="Times New Roman" w:hAnsi="Times New Roman"/>
        <w:b/>
        <w:smallCaps/>
        <w:spacing w:val="20"/>
        <w:sz w:val="11"/>
        <w:szCs w:val="24"/>
        <w:lang w:eastAsia="it-IT"/>
      </w:rPr>
      <w:t xml:space="preserve"> ROMA “TOR VERGATA”</w:t>
    </w:r>
  </w:p>
  <w:p w:rsidR="00A50774" w:rsidRPr="004A7BBD" w:rsidRDefault="004F3ADC" w:rsidP="004A7BBD">
    <w:pPr>
      <w:widowControl w:val="0"/>
      <w:tabs>
        <w:tab w:val="center" w:pos="4819"/>
        <w:tab w:val="right" w:pos="9638"/>
      </w:tabs>
      <w:autoSpaceDE w:val="0"/>
      <w:autoSpaceDN w:val="0"/>
      <w:adjustRightInd w:val="0"/>
      <w:spacing w:after="0" w:line="240" w:lineRule="auto"/>
      <w:jc w:val="center"/>
      <w:rPr>
        <w:rFonts w:ascii="Times New Roman" w:hAnsi="Times New Roman"/>
        <w:b/>
        <w:smallCaps/>
        <w:spacing w:val="20"/>
        <w:sz w:val="11"/>
        <w:szCs w:val="24"/>
        <w:lang w:eastAsia="it-IT"/>
      </w:rPr>
    </w:pPr>
    <w:r w:rsidRPr="004F3ADC">
      <w:rPr>
        <w:noProof/>
        <w:lang w:eastAsia="it-IT"/>
      </w:rPr>
      <w:pict>
        <v:line id="Line 1" o:spid="_x0000_s4097" style="position:absolute;left:0;text-align:left;z-index:251660288;visibility:visible" from="214.9pt,5.7pt" to="256.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UcHEgIAACc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"/>
      </w:pict>
    </w:r>
  </w:p>
  <w:p w:rsidR="00A50774" w:rsidRPr="004A7BBD" w:rsidRDefault="00A50774" w:rsidP="004A7BBD">
    <w:pPr>
      <w:widowControl w:val="0"/>
      <w:tabs>
        <w:tab w:val="center" w:pos="4819"/>
        <w:tab w:val="right" w:pos="9638"/>
      </w:tabs>
      <w:autoSpaceDE w:val="0"/>
      <w:autoSpaceDN w:val="0"/>
      <w:adjustRightInd w:val="0"/>
      <w:spacing w:after="0" w:line="240" w:lineRule="auto"/>
      <w:jc w:val="center"/>
      <w:rPr>
        <w:rFonts w:ascii="Times New Roman" w:hAnsi="Times New Roman"/>
        <w:b/>
        <w:spacing w:val="20"/>
        <w:sz w:val="6"/>
        <w:szCs w:val="6"/>
        <w:lang w:eastAsia="it-IT"/>
      </w:rPr>
    </w:pPr>
  </w:p>
  <w:p w:rsidR="00A50774" w:rsidRPr="004A7BBD" w:rsidRDefault="00A50774" w:rsidP="004A7BBD">
    <w:pPr>
      <w:widowControl w:val="0"/>
      <w:tabs>
        <w:tab w:val="center" w:pos="4819"/>
        <w:tab w:val="right" w:pos="9638"/>
      </w:tabs>
      <w:autoSpaceDE w:val="0"/>
      <w:autoSpaceDN w:val="0"/>
      <w:adjustRightInd w:val="0"/>
      <w:spacing w:after="0" w:line="240" w:lineRule="auto"/>
      <w:jc w:val="center"/>
      <w:rPr>
        <w:rFonts w:ascii="Times New Roman" w:hAnsi="Times New Roman"/>
        <w:b/>
        <w:spacing w:val="20"/>
        <w:sz w:val="11"/>
        <w:szCs w:val="20"/>
        <w:lang w:eastAsia="it-IT"/>
      </w:rPr>
    </w:pPr>
    <w:r w:rsidRPr="004A7BBD">
      <w:rPr>
        <w:rFonts w:ascii="Times New Roman" w:hAnsi="Times New Roman"/>
        <w:b/>
        <w:spacing w:val="20"/>
        <w:sz w:val="11"/>
        <w:szCs w:val="24"/>
        <w:lang w:eastAsia="it-IT"/>
      </w:rPr>
      <w:t>VIA EZIO, 12 - 00192 ROMA</w:t>
    </w:r>
  </w:p>
  <w:p w:rsidR="00A50774" w:rsidRPr="004A7BBD" w:rsidRDefault="00A50774" w:rsidP="004A7BBD">
    <w:pPr>
      <w:widowControl w:val="0"/>
      <w:tabs>
        <w:tab w:val="center" w:pos="4819"/>
        <w:tab w:val="right" w:pos="9638"/>
      </w:tabs>
      <w:autoSpaceDE w:val="0"/>
      <w:autoSpaceDN w:val="0"/>
      <w:adjustRightInd w:val="0"/>
      <w:spacing w:after="0" w:line="240" w:lineRule="auto"/>
      <w:jc w:val="center"/>
      <w:rPr>
        <w:rFonts w:ascii="Garamond" w:hAnsi="Garamond"/>
        <w:b/>
        <w:spacing w:val="20"/>
        <w:sz w:val="12"/>
        <w:szCs w:val="24"/>
        <w:lang w:eastAsia="it-IT"/>
      </w:rPr>
    </w:pPr>
    <w:r w:rsidRPr="004A7BBD">
      <w:rPr>
        <w:rFonts w:ascii="Garamond" w:hAnsi="Garamond"/>
        <w:b/>
        <w:spacing w:val="20"/>
        <w:sz w:val="12"/>
        <w:szCs w:val="24"/>
        <w:lang w:eastAsia="it-IT"/>
      </w:rPr>
      <w:t xml:space="preserve">Via </w:t>
    </w:r>
    <w:proofErr w:type="spellStart"/>
    <w:r w:rsidRPr="004A7BBD">
      <w:rPr>
        <w:rFonts w:ascii="Garamond" w:hAnsi="Garamond"/>
        <w:b/>
        <w:spacing w:val="20"/>
        <w:sz w:val="12"/>
        <w:szCs w:val="24"/>
        <w:lang w:eastAsia="it-IT"/>
      </w:rPr>
      <w:t>Vascarelle</w:t>
    </w:r>
    <w:proofErr w:type="spellEnd"/>
    <w:r w:rsidRPr="004A7BBD">
      <w:rPr>
        <w:rFonts w:ascii="Garamond" w:hAnsi="Garamond"/>
        <w:b/>
        <w:spacing w:val="20"/>
        <w:sz w:val="12"/>
        <w:szCs w:val="24"/>
        <w:lang w:eastAsia="it-IT"/>
      </w:rPr>
      <w:t>, 112/d - 00041 Albano Laziale</w:t>
    </w:r>
  </w:p>
  <w:p w:rsidR="00A50774" w:rsidRPr="004A7BBD" w:rsidRDefault="00A50774" w:rsidP="004A7BBD">
    <w:pPr>
      <w:widowControl w:val="0"/>
      <w:tabs>
        <w:tab w:val="center" w:pos="4819"/>
        <w:tab w:val="right" w:pos="9638"/>
      </w:tabs>
      <w:autoSpaceDE w:val="0"/>
      <w:autoSpaceDN w:val="0"/>
      <w:adjustRightInd w:val="0"/>
      <w:spacing w:after="0" w:line="240" w:lineRule="auto"/>
      <w:jc w:val="center"/>
      <w:rPr>
        <w:rFonts w:ascii="Garamond" w:hAnsi="Garamond"/>
        <w:b/>
        <w:spacing w:val="20"/>
        <w:sz w:val="13"/>
        <w:szCs w:val="24"/>
        <w:lang w:eastAsia="it-IT"/>
      </w:rPr>
    </w:pPr>
    <w:r w:rsidRPr="004A7BBD">
      <w:rPr>
        <w:rFonts w:ascii="Garamond" w:hAnsi="Garamond"/>
        <w:b/>
        <w:spacing w:val="20"/>
        <w:sz w:val="13"/>
        <w:szCs w:val="24"/>
        <w:lang w:eastAsia="it-IT"/>
      </w:rPr>
      <w:t>TEL. 069304510 - FAX 0693010744</w:t>
    </w:r>
  </w:p>
  <w:p w:rsidR="00A50774" w:rsidRPr="004A7BBD" w:rsidRDefault="00A50774" w:rsidP="004A7BBD">
    <w:pPr>
      <w:widowControl w:val="0"/>
      <w:tabs>
        <w:tab w:val="center" w:pos="4819"/>
        <w:tab w:val="right" w:pos="9638"/>
      </w:tabs>
      <w:autoSpaceDE w:val="0"/>
      <w:autoSpaceDN w:val="0"/>
      <w:adjustRightInd w:val="0"/>
      <w:spacing w:after="0" w:line="240" w:lineRule="auto"/>
      <w:jc w:val="center"/>
      <w:rPr>
        <w:rFonts w:ascii="Garamond" w:hAnsi="Garamond"/>
        <w:b/>
        <w:spacing w:val="20"/>
        <w:sz w:val="13"/>
        <w:szCs w:val="24"/>
        <w:lang w:eastAsia="it-IT"/>
      </w:rPr>
    </w:pPr>
    <w:r w:rsidRPr="004A7BBD">
      <w:rPr>
        <w:rFonts w:ascii="Garamond" w:hAnsi="Garamond"/>
        <w:b/>
        <w:spacing w:val="20"/>
        <w:sz w:val="13"/>
        <w:szCs w:val="24"/>
        <w:lang w:eastAsia="it-IT"/>
      </w:rPr>
      <w:t>E-mail: studio-pisani@libero.it</w:t>
    </w:r>
  </w:p>
  <w:p w:rsidR="00A50774" w:rsidRDefault="00A50774" w:rsidP="004A7BBD">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drawingGridHorizontalSpacing w:val="110"/>
  <w:displayHorizontalDrawingGridEvery w:val="2"/>
  <w:characterSpacingControl w:val="doNotCompress"/>
  <w:savePreviewPicture/>
  <w:hdrShapeDefaults>
    <o:shapedefaults v:ext="edit" spidmax="5122"/>
    <o:shapelayout v:ext="edit">
      <o:idmap v:ext="edit" data="4"/>
    </o:shapelayout>
  </w:hdrShapeDefaults>
  <w:footnotePr>
    <w:footnote w:id="-1"/>
    <w:footnote w:id="0"/>
  </w:footnotePr>
  <w:endnotePr>
    <w:endnote w:id="-1"/>
    <w:endnote w:id="0"/>
  </w:endnotePr>
  <w:compat/>
  <w:rsids>
    <w:rsidRoot w:val="003F3E22"/>
    <w:rsid w:val="00011155"/>
    <w:rsid w:val="00037F11"/>
    <w:rsid w:val="00085F03"/>
    <w:rsid w:val="0009551F"/>
    <w:rsid w:val="000D2BB0"/>
    <w:rsid w:val="001026A4"/>
    <w:rsid w:val="00150978"/>
    <w:rsid w:val="0015222A"/>
    <w:rsid w:val="001600C4"/>
    <w:rsid w:val="001B0963"/>
    <w:rsid w:val="001E081C"/>
    <w:rsid w:val="001E414D"/>
    <w:rsid w:val="00267B62"/>
    <w:rsid w:val="002A00F4"/>
    <w:rsid w:val="002D77EF"/>
    <w:rsid w:val="0034334B"/>
    <w:rsid w:val="00345246"/>
    <w:rsid w:val="003F3E22"/>
    <w:rsid w:val="0042546B"/>
    <w:rsid w:val="00434129"/>
    <w:rsid w:val="00447C6E"/>
    <w:rsid w:val="004A7BBD"/>
    <w:rsid w:val="004F3ADC"/>
    <w:rsid w:val="005811D2"/>
    <w:rsid w:val="005C0D8D"/>
    <w:rsid w:val="005D4FA7"/>
    <w:rsid w:val="005E53CD"/>
    <w:rsid w:val="00614A62"/>
    <w:rsid w:val="00700409"/>
    <w:rsid w:val="007031FD"/>
    <w:rsid w:val="00711ADE"/>
    <w:rsid w:val="007210D2"/>
    <w:rsid w:val="007219AF"/>
    <w:rsid w:val="0074373F"/>
    <w:rsid w:val="007979B0"/>
    <w:rsid w:val="007A50D2"/>
    <w:rsid w:val="00824BEA"/>
    <w:rsid w:val="008A7C93"/>
    <w:rsid w:val="008B08DE"/>
    <w:rsid w:val="008B1DD6"/>
    <w:rsid w:val="008B6216"/>
    <w:rsid w:val="008D2206"/>
    <w:rsid w:val="009476FD"/>
    <w:rsid w:val="009659E6"/>
    <w:rsid w:val="00967014"/>
    <w:rsid w:val="00994119"/>
    <w:rsid w:val="00A01ABE"/>
    <w:rsid w:val="00A04BBE"/>
    <w:rsid w:val="00A2504E"/>
    <w:rsid w:val="00A50774"/>
    <w:rsid w:val="00A75F81"/>
    <w:rsid w:val="00AA5F78"/>
    <w:rsid w:val="00AD00CD"/>
    <w:rsid w:val="00AE5C23"/>
    <w:rsid w:val="00B0452B"/>
    <w:rsid w:val="00B562A3"/>
    <w:rsid w:val="00BB2EC4"/>
    <w:rsid w:val="00BC7561"/>
    <w:rsid w:val="00BF663C"/>
    <w:rsid w:val="00C425EA"/>
    <w:rsid w:val="00C46E1B"/>
    <w:rsid w:val="00CB5929"/>
    <w:rsid w:val="00CB779B"/>
    <w:rsid w:val="00CD5774"/>
    <w:rsid w:val="00D273EF"/>
    <w:rsid w:val="00D9027D"/>
    <w:rsid w:val="00DD2FC1"/>
    <w:rsid w:val="00E80E30"/>
    <w:rsid w:val="00E92BED"/>
    <w:rsid w:val="00F511AA"/>
    <w:rsid w:val="00F624A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1155"/>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7A50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7A50D2"/>
    <w:rPr>
      <w:rFonts w:cs="Times New Roman"/>
    </w:rPr>
  </w:style>
  <w:style w:type="paragraph" w:styleId="Pidipagina">
    <w:name w:val="footer"/>
    <w:basedOn w:val="Normale"/>
    <w:link w:val="PidipaginaCarattere"/>
    <w:uiPriority w:val="99"/>
    <w:rsid w:val="007A50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7A50D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2475</Words>
  <Characters>14110</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SURDO</cp:lastModifiedBy>
  <cp:revision>2</cp:revision>
  <cp:lastPrinted>2014-04-25T15:55:00Z</cp:lastPrinted>
  <dcterms:created xsi:type="dcterms:W3CDTF">2014-06-30T00:13:00Z</dcterms:created>
  <dcterms:modified xsi:type="dcterms:W3CDTF">2014-06-30T00:13:00Z</dcterms:modified>
</cp:coreProperties>
</file>